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24C40" w14:textId="743D0F68" w:rsidR="00014127" w:rsidRPr="002753F8" w:rsidRDefault="002753F8" w:rsidP="00D92DB8">
      <w:pPr>
        <w:jc w:val="center"/>
        <w:rPr>
          <w:b/>
          <w:bCs/>
          <w:sz w:val="28"/>
          <w:szCs w:val="28"/>
        </w:rPr>
      </w:pPr>
      <w:r w:rsidRPr="002753F8">
        <w:rPr>
          <w:b/>
          <w:bCs/>
          <w:sz w:val="28"/>
          <w:szCs w:val="28"/>
        </w:rPr>
        <w:t xml:space="preserve">Statutory Declaration Form – </w:t>
      </w:r>
      <w:r w:rsidR="005E1169">
        <w:rPr>
          <w:b/>
          <w:bCs/>
          <w:sz w:val="28"/>
          <w:szCs w:val="28"/>
        </w:rPr>
        <w:t>Investor Test</w:t>
      </w:r>
    </w:p>
    <w:p w14:paraId="0601EE1B" w14:textId="77854637" w:rsidR="005E1169" w:rsidRDefault="005E1169">
      <w:r>
        <w:t xml:space="preserve">The Overseas Investment Office </w:t>
      </w:r>
      <w:r w:rsidR="0077378A">
        <w:t xml:space="preserve">generally </w:t>
      </w:r>
      <w:r>
        <w:t>requires a</w:t>
      </w:r>
      <w:r w:rsidR="002753F8">
        <w:t xml:space="preserve">n application for consent under the Overseas Investment Act 2005 </w:t>
      </w:r>
      <w:r>
        <w:t xml:space="preserve">to </w:t>
      </w:r>
      <w:r w:rsidR="002753F8">
        <w:t>include a</w:t>
      </w:r>
      <w:r w:rsidR="002753F8" w:rsidRPr="002753F8">
        <w:t xml:space="preserve"> statutory declaration </w:t>
      </w:r>
      <w:r>
        <w:t>stating that the overseas investors</w:t>
      </w:r>
      <w:r>
        <w:rPr>
          <w:rStyle w:val="FootnoteReference"/>
        </w:rPr>
        <w:footnoteReference w:id="1"/>
      </w:r>
      <w:r>
        <w:t xml:space="preserve"> are not unsuitable to own or control any sensitive New Zealand assets. </w:t>
      </w:r>
    </w:p>
    <w:p w14:paraId="779387BF" w14:textId="43791843" w:rsidR="00317016" w:rsidRDefault="00317016" w:rsidP="00144561">
      <w:r>
        <w:t xml:space="preserve">Executed </w:t>
      </w:r>
      <w:r w:rsidR="0077378A">
        <w:t xml:space="preserve">statutory </w:t>
      </w:r>
      <w:r w:rsidR="001F322C">
        <w:t>declaration</w:t>
      </w:r>
      <w:r>
        <w:t>s</w:t>
      </w:r>
      <w:r w:rsidR="0077378A">
        <w:t xml:space="preserve"> should </w:t>
      </w:r>
      <w:r w:rsidR="002753F8">
        <w:t xml:space="preserve">be uploaded </w:t>
      </w:r>
      <w:r w:rsidR="0077378A">
        <w:t xml:space="preserve">at the time </w:t>
      </w:r>
      <w:r w:rsidR="00144561">
        <w:t xml:space="preserve">the </w:t>
      </w:r>
      <w:r w:rsidR="002753F8">
        <w:t>online application</w:t>
      </w:r>
      <w:r w:rsidR="00144561">
        <w:t xml:space="preserve"> is </w:t>
      </w:r>
      <w:r>
        <w:t>submitted</w:t>
      </w:r>
      <w:r w:rsidR="0077378A">
        <w:t>.</w:t>
      </w:r>
      <w:r w:rsidR="002753F8">
        <w:t xml:space="preserve"> The form below is a </w:t>
      </w:r>
      <w:r>
        <w:t xml:space="preserve">template </w:t>
      </w:r>
      <w:r w:rsidR="002753F8">
        <w:t xml:space="preserve">statutory declaration that </w:t>
      </w:r>
      <w:r w:rsidR="00144561">
        <w:t>can be used</w:t>
      </w:r>
      <w:r w:rsidR="002753F8">
        <w:t xml:space="preserve"> </w:t>
      </w:r>
      <w:r w:rsidR="00144561">
        <w:t xml:space="preserve">as </w:t>
      </w:r>
      <w:r w:rsidR="002753F8">
        <w:t xml:space="preserve">a guide. </w:t>
      </w:r>
    </w:p>
    <w:p w14:paraId="258F69EF" w14:textId="30AE1CBA" w:rsidR="00317016" w:rsidRPr="007E730B" w:rsidRDefault="00144561" w:rsidP="00317016">
      <w:pPr>
        <w:pStyle w:val="ListParagraph"/>
        <w:numPr>
          <w:ilvl w:val="0"/>
          <w:numId w:val="23"/>
        </w:numPr>
        <w:rPr>
          <w:b/>
        </w:rPr>
      </w:pPr>
      <w:r w:rsidRPr="00317016">
        <w:rPr>
          <w:bCs/>
        </w:rPr>
        <w:t>Option 1 applies whe</w:t>
      </w:r>
      <w:r w:rsidR="00317016">
        <w:rPr>
          <w:bCs/>
        </w:rPr>
        <w:t>re</w:t>
      </w:r>
      <w:r w:rsidRPr="00317016">
        <w:rPr>
          <w:bCs/>
        </w:rPr>
        <w:t xml:space="preserve"> </w:t>
      </w:r>
      <w:r w:rsidR="001F322C" w:rsidRPr="00317016">
        <w:rPr>
          <w:bCs/>
        </w:rPr>
        <w:t xml:space="preserve">an </w:t>
      </w:r>
      <w:r w:rsidRPr="00317016">
        <w:rPr>
          <w:bCs/>
        </w:rPr>
        <w:t>individual</w:t>
      </w:r>
      <w:r w:rsidR="00317016">
        <w:rPr>
          <w:bCs/>
        </w:rPr>
        <w:t xml:space="preserve"> is</w:t>
      </w:r>
      <w:r w:rsidRPr="00317016">
        <w:rPr>
          <w:bCs/>
        </w:rPr>
        <w:t xml:space="preserve"> invest</w:t>
      </w:r>
      <w:r w:rsidR="00317016">
        <w:rPr>
          <w:bCs/>
        </w:rPr>
        <w:t>ing</w:t>
      </w:r>
      <w:r w:rsidR="00A05221" w:rsidRPr="00317016">
        <w:rPr>
          <w:bCs/>
        </w:rPr>
        <w:t xml:space="preserve"> </w:t>
      </w:r>
      <w:r w:rsidRPr="00317016">
        <w:rPr>
          <w:bCs/>
        </w:rPr>
        <w:t xml:space="preserve">in their own name, or </w:t>
      </w:r>
      <w:r w:rsidR="00317016">
        <w:rPr>
          <w:bCs/>
        </w:rPr>
        <w:t>where</w:t>
      </w:r>
      <w:r w:rsidR="00317016" w:rsidRPr="00317016">
        <w:rPr>
          <w:bCs/>
        </w:rPr>
        <w:t xml:space="preserve"> </w:t>
      </w:r>
      <w:r w:rsidRPr="00317016">
        <w:rPr>
          <w:bCs/>
        </w:rPr>
        <w:t>the individual is an individual with control (IWC) of the relevant overseas person (ROP).</w:t>
      </w:r>
      <w:r w:rsidRPr="00317016">
        <w:rPr>
          <w:b/>
          <w:bCs/>
        </w:rPr>
        <w:t xml:space="preserve"> </w:t>
      </w:r>
    </w:p>
    <w:p w14:paraId="2290EA35" w14:textId="77777777" w:rsidR="007E730B" w:rsidRPr="00317016" w:rsidRDefault="007E730B" w:rsidP="008A70F2">
      <w:pPr>
        <w:pStyle w:val="ListParagraph"/>
        <w:rPr>
          <w:b/>
        </w:rPr>
      </w:pPr>
    </w:p>
    <w:p w14:paraId="260167AF" w14:textId="3E8CABFC" w:rsidR="00144561" w:rsidRDefault="00144561" w:rsidP="008A70F2">
      <w:pPr>
        <w:pStyle w:val="ListParagraph"/>
        <w:numPr>
          <w:ilvl w:val="0"/>
          <w:numId w:val="23"/>
        </w:numPr>
      </w:pPr>
      <w:r w:rsidRPr="007E730B">
        <w:rPr>
          <w:bCs/>
        </w:rPr>
        <w:t>Option</w:t>
      </w:r>
      <w:r>
        <w:t xml:space="preserve"> 2 </w:t>
      </w:r>
      <w:r w:rsidRPr="00317016">
        <w:rPr>
          <w:bCs/>
        </w:rPr>
        <w:t xml:space="preserve">applies when </w:t>
      </w:r>
      <w:r w:rsidR="00317016">
        <w:rPr>
          <w:bCs/>
        </w:rPr>
        <w:t>a</w:t>
      </w:r>
      <w:r w:rsidR="00317016" w:rsidRPr="00317016">
        <w:rPr>
          <w:bCs/>
        </w:rPr>
        <w:t xml:space="preserve"> </w:t>
      </w:r>
      <w:r w:rsidRPr="00317016">
        <w:rPr>
          <w:bCs/>
        </w:rPr>
        <w:t xml:space="preserve">person </w:t>
      </w:r>
      <w:r w:rsidR="00317016">
        <w:rPr>
          <w:bCs/>
        </w:rPr>
        <w:t xml:space="preserve">is </w:t>
      </w:r>
      <w:r w:rsidRPr="00317016">
        <w:rPr>
          <w:bCs/>
        </w:rPr>
        <w:t xml:space="preserve">making the declaration </w:t>
      </w:r>
      <w:r w:rsidR="00317016">
        <w:rPr>
          <w:bCs/>
        </w:rPr>
        <w:t>on behalf of other</w:t>
      </w:r>
      <w:r w:rsidRPr="00317016">
        <w:rPr>
          <w:bCs/>
        </w:rPr>
        <w:t xml:space="preserve"> ROP</w:t>
      </w:r>
      <w:r w:rsidR="00E477FF" w:rsidRPr="00317016">
        <w:rPr>
          <w:bCs/>
        </w:rPr>
        <w:t xml:space="preserve"> and</w:t>
      </w:r>
      <w:r w:rsidR="00317016">
        <w:rPr>
          <w:bCs/>
        </w:rPr>
        <w:t>/or</w:t>
      </w:r>
      <w:r w:rsidRPr="006F121C">
        <w:t xml:space="preserve"> IWCs. You </w:t>
      </w:r>
      <w:r w:rsidR="00317016">
        <w:t>should</w:t>
      </w:r>
      <w:r w:rsidR="00317016" w:rsidRPr="006F121C">
        <w:t xml:space="preserve"> </w:t>
      </w:r>
      <w:r w:rsidRPr="006F121C">
        <w:t xml:space="preserve">be specific </w:t>
      </w:r>
      <w:r w:rsidR="00317016">
        <w:t xml:space="preserve">about </w:t>
      </w:r>
      <w:r w:rsidRPr="006F121C">
        <w:t xml:space="preserve">the actions </w:t>
      </w:r>
      <w:r w:rsidR="00317016">
        <w:t xml:space="preserve">that have been taken to verify the information </w:t>
      </w:r>
      <w:r w:rsidRPr="00CA7222">
        <w:t>contained in</w:t>
      </w:r>
      <w:r w:rsidR="00317016">
        <w:t xml:space="preserve"> the declaration under paragraph</w:t>
      </w:r>
      <w:r w:rsidRPr="00CA7222">
        <w:t xml:space="preserve"> </w:t>
      </w:r>
      <w:r w:rsidR="00317016">
        <w:t>4</w:t>
      </w:r>
      <w:r w:rsidRPr="00CA7222">
        <w:t xml:space="preserve"> of Option </w:t>
      </w:r>
      <w:r w:rsidR="00CA7222" w:rsidRPr="00CA7222">
        <w:t>2</w:t>
      </w:r>
      <w:r w:rsidRPr="00CA7222">
        <w:t>.</w:t>
      </w:r>
      <w:r w:rsidR="00D86F40">
        <w:t xml:space="preserve"> </w:t>
      </w:r>
    </w:p>
    <w:p w14:paraId="35AEAAC7" w14:textId="77AC5CF5" w:rsidR="004047C7" w:rsidRPr="00317016" w:rsidRDefault="004047C7" w:rsidP="008A70F2">
      <w:pPr>
        <w:spacing w:after="260" w:line="260" w:lineRule="atLeast"/>
        <w:jc w:val="both"/>
        <w:rPr>
          <w:b/>
        </w:rPr>
      </w:pPr>
      <w:r w:rsidRPr="004047C7">
        <w:rPr>
          <w:rFonts w:cs="Arial"/>
          <w:szCs w:val="20"/>
        </w:rPr>
        <w:t>I</w:t>
      </w:r>
      <w:r>
        <w:rPr>
          <w:rFonts w:cs="Arial"/>
          <w:szCs w:val="20"/>
        </w:rPr>
        <w:t xml:space="preserve">f </w:t>
      </w:r>
      <w:r w:rsidRPr="004047C7">
        <w:rPr>
          <w:rFonts w:cs="Arial"/>
          <w:szCs w:val="20"/>
        </w:rPr>
        <w:t>the relevant overseas persons and/or individuals with control of the relevant overseas persons identified in the submitted application are different from the ones determined by the responsible Minister or their delegate</w:t>
      </w:r>
      <w:r>
        <w:rPr>
          <w:rFonts w:cs="Arial"/>
          <w:szCs w:val="20"/>
        </w:rPr>
        <w:t xml:space="preserve">, </w:t>
      </w:r>
      <w:r w:rsidR="007E730B">
        <w:rPr>
          <w:rFonts w:cs="Arial"/>
          <w:szCs w:val="20"/>
        </w:rPr>
        <w:t>additional</w:t>
      </w:r>
      <w:r>
        <w:rPr>
          <w:rFonts w:cs="Arial"/>
          <w:szCs w:val="20"/>
        </w:rPr>
        <w:t xml:space="preserve"> statutory declarations will be required.  </w:t>
      </w:r>
      <w:r w:rsidRPr="004047C7" w:rsidDel="004047C7">
        <w:rPr>
          <w:rFonts w:cs="Arial"/>
          <w:szCs w:val="20"/>
        </w:rPr>
        <w:t xml:space="preserve"> </w:t>
      </w:r>
    </w:p>
    <w:p w14:paraId="3FA8C249" w14:textId="1003E54A" w:rsidR="002753F8" w:rsidRPr="002753F8" w:rsidRDefault="002753F8">
      <w:pPr>
        <w:rPr>
          <w:b/>
          <w:bCs/>
        </w:rPr>
      </w:pPr>
      <w:r w:rsidRPr="002753F8">
        <w:rPr>
          <w:b/>
          <w:bCs/>
        </w:rPr>
        <w:t>Making a Statutory Declaration</w:t>
      </w:r>
    </w:p>
    <w:p w14:paraId="0080034E" w14:textId="2D3E9A57" w:rsidR="002753F8" w:rsidRDefault="002753F8">
      <w:r w:rsidRPr="002753F8">
        <w:t>A statutory declaration is a written statement declaring something to be true in the presence of an authorised witness</w:t>
      </w:r>
      <w:r w:rsidR="00D92DB8">
        <w:rPr>
          <w:rStyle w:val="FootnoteReference"/>
        </w:rPr>
        <w:footnoteReference w:id="2"/>
      </w:r>
      <w:r w:rsidR="00D92DB8" w:rsidRPr="00D92DB8">
        <w:t>.</w:t>
      </w:r>
      <w:r w:rsidR="00D92DB8">
        <w:t xml:space="preserve"> </w:t>
      </w:r>
      <w:r w:rsidRPr="002753F8">
        <w:t>It is an offence to give any altered, false, incomplete</w:t>
      </w:r>
      <w:r w:rsidR="00075035">
        <w:t>,</w:t>
      </w:r>
      <w:r w:rsidRPr="002753F8">
        <w:t xml:space="preserve"> or misleading information or to make a false statement or declaration.</w:t>
      </w:r>
    </w:p>
    <w:p w14:paraId="605818C2" w14:textId="1D0D3041" w:rsidR="002753F8" w:rsidRDefault="002753F8">
      <w:pPr>
        <w:rPr>
          <w:b/>
          <w:bCs/>
        </w:rPr>
      </w:pPr>
      <w:r w:rsidRPr="002753F8">
        <w:rPr>
          <w:b/>
          <w:bCs/>
        </w:rPr>
        <w:t xml:space="preserve">Who should sign this </w:t>
      </w:r>
      <w:proofErr w:type="gramStart"/>
      <w:r w:rsidRPr="002753F8">
        <w:rPr>
          <w:b/>
          <w:bCs/>
        </w:rPr>
        <w:t>form</w:t>
      </w:r>
      <w:proofErr w:type="gramEnd"/>
      <w:r w:rsidRPr="002753F8">
        <w:rPr>
          <w:b/>
          <w:bCs/>
        </w:rPr>
        <w:t xml:space="preserve"> </w:t>
      </w:r>
    </w:p>
    <w:p w14:paraId="7F992E24" w14:textId="3BE6C430" w:rsidR="007E730B" w:rsidRDefault="007E730B">
      <w:pPr>
        <w:pBdr>
          <w:bottom w:val="single" w:sz="12" w:space="1" w:color="auto"/>
        </w:pBdr>
      </w:pPr>
      <w:r>
        <w:t xml:space="preserve">Each ROP and IWC (who are overseas persons) must be covered by an investor test statutory declaration. </w:t>
      </w:r>
    </w:p>
    <w:p w14:paraId="19AFD954" w14:textId="2901152C" w:rsidR="002753F8" w:rsidRPr="00D92DB8" w:rsidRDefault="002753F8" w:rsidP="002753F8">
      <w:pPr>
        <w:pStyle w:val="NormalWeb"/>
        <w:spacing w:before="240" w:beforeAutospacing="0" w:after="120" w:afterAutospacing="0"/>
        <w:jc w:val="center"/>
        <w:rPr>
          <w:rFonts w:asciiTheme="minorHAnsi" w:eastAsiaTheme="minorHAnsi" w:hAnsiTheme="minorHAnsi" w:cs="Arial"/>
          <w:b/>
          <w:bCs/>
          <w:sz w:val="22"/>
          <w:szCs w:val="22"/>
          <w:lang w:eastAsia="en-US"/>
        </w:rPr>
      </w:pPr>
      <w:r w:rsidRPr="00D92DB8">
        <w:rPr>
          <w:rFonts w:asciiTheme="minorHAnsi" w:eastAsiaTheme="minorHAnsi" w:hAnsiTheme="minorHAnsi" w:cs="Arial"/>
          <w:b/>
          <w:bCs/>
          <w:sz w:val="22"/>
          <w:szCs w:val="22"/>
          <w:lang w:eastAsia="en-US"/>
        </w:rPr>
        <w:t>Statutory Declaration</w:t>
      </w:r>
      <w:r w:rsidR="00361977">
        <w:rPr>
          <w:rFonts w:asciiTheme="minorHAnsi" w:eastAsiaTheme="minorHAnsi" w:hAnsiTheme="minorHAnsi" w:cs="Arial"/>
          <w:b/>
          <w:bCs/>
          <w:sz w:val="22"/>
          <w:szCs w:val="22"/>
          <w:lang w:eastAsia="en-US"/>
        </w:rPr>
        <w:t xml:space="preserve"> as to Investor Test</w:t>
      </w:r>
    </w:p>
    <w:p w14:paraId="3C910BFD" w14:textId="324B9C16" w:rsidR="002753F8" w:rsidRPr="00D92DB8" w:rsidRDefault="002753F8" w:rsidP="005358D0">
      <w:pPr>
        <w:pStyle w:val="NormalWeb"/>
        <w:spacing w:before="0" w:beforeAutospacing="0" w:after="120" w:afterAutospacing="0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D92DB8">
        <w:rPr>
          <w:rFonts w:asciiTheme="minorHAnsi" w:eastAsiaTheme="minorHAnsi" w:hAnsiTheme="minorHAnsi" w:cs="Arial"/>
          <w:sz w:val="22"/>
          <w:szCs w:val="22"/>
          <w:lang w:eastAsia="en-US"/>
        </w:rPr>
        <w:t>I, [Name], of [place of abode and occupation], solemnly and sincerely declare that:</w:t>
      </w:r>
    </w:p>
    <w:p w14:paraId="1DCB1E80" w14:textId="77777777" w:rsidR="004258B2" w:rsidRDefault="004258B2" w:rsidP="005358D0">
      <w:pPr>
        <w:pStyle w:val="NormalWeb"/>
        <w:spacing w:before="0" w:beforeAutospacing="0" w:after="120" w:afterAutospacing="0"/>
        <w:jc w:val="both"/>
        <w:rPr>
          <w:rFonts w:asciiTheme="minorHAnsi" w:eastAsiaTheme="minorHAnsi" w:hAnsiTheme="minorHAnsi" w:cs="Arial"/>
          <w:i/>
          <w:iCs/>
          <w:sz w:val="22"/>
          <w:szCs w:val="22"/>
          <w:lang w:eastAsia="en-US"/>
        </w:rPr>
      </w:pPr>
    </w:p>
    <w:p w14:paraId="56DEE0FC" w14:textId="2525D649" w:rsidR="00A007A3" w:rsidRDefault="00A007A3" w:rsidP="00A007A3">
      <w:pPr>
        <w:pStyle w:val="NormalWeb"/>
        <w:spacing w:before="0" w:beforeAutospacing="0" w:after="120" w:afterAutospacing="0"/>
        <w:rPr>
          <w:rFonts w:asciiTheme="minorHAnsi" w:eastAsiaTheme="minorHAnsi" w:hAnsiTheme="minorHAnsi" w:cs="Arial"/>
          <w:i/>
          <w:iCs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i/>
          <w:iCs/>
          <w:sz w:val="22"/>
          <w:szCs w:val="22"/>
          <w:lang w:eastAsia="en-US"/>
        </w:rPr>
        <w:t xml:space="preserve">OPTION 1: IF </w:t>
      </w:r>
      <w:r w:rsidR="003467A2">
        <w:rPr>
          <w:rFonts w:asciiTheme="minorHAnsi" w:eastAsiaTheme="minorHAnsi" w:hAnsiTheme="minorHAnsi" w:cs="Arial"/>
          <w:i/>
          <w:iCs/>
          <w:sz w:val="22"/>
          <w:szCs w:val="22"/>
          <w:lang w:eastAsia="en-US"/>
        </w:rPr>
        <w:t xml:space="preserve">THE DECLARANT IS THE </w:t>
      </w:r>
      <w:r>
        <w:rPr>
          <w:rFonts w:asciiTheme="minorHAnsi" w:eastAsiaTheme="minorHAnsi" w:hAnsiTheme="minorHAnsi" w:cs="Arial"/>
          <w:i/>
          <w:iCs/>
          <w:sz w:val="22"/>
          <w:szCs w:val="22"/>
          <w:lang w:eastAsia="en-US"/>
        </w:rPr>
        <w:t>INDIVIDUAL INVEST</w:t>
      </w:r>
      <w:r w:rsidR="003467A2">
        <w:rPr>
          <w:rFonts w:asciiTheme="minorHAnsi" w:eastAsiaTheme="minorHAnsi" w:hAnsiTheme="minorHAnsi" w:cs="Arial"/>
          <w:i/>
          <w:iCs/>
          <w:sz w:val="22"/>
          <w:szCs w:val="22"/>
          <w:lang w:eastAsia="en-US"/>
        </w:rPr>
        <w:t>ING</w:t>
      </w:r>
      <w:r>
        <w:rPr>
          <w:rFonts w:asciiTheme="minorHAnsi" w:eastAsiaTheme="minorHAnsi" w:hAnsiTheme="minorHAnsi" w:cs="Arial"/>
          <w:i/>
          <w:iCs/>
          <w:sz w:val="22"/>
          <w:szCs w:val="22"/>
          <w:lang w:eastAsia="en-US"/>
        </w:rPr>
        <w:t xml:space="preserve"> IN THEIR OWN NAME OR </w:t>
      </w:r>
      <w:r w:rsidR="003467A2">
        <w:rPr>
          <w:rFonts w:asciiTheme="minorHAnsi" w:eastAsiaTheme="minorHAnsi" w:hAnsiTheme="minorHAnsi" w:cs="Arial"/>
          <w:i/>
          <w:iCs/>
          <w:sz w:val="22"/>
          <w:szCs w:val="22"/>
          <w:lang w:eastAsia="en-US"/>
        </w:rPr>
        <w:t xml:space="preserve">IF THE DECLARANT IS </w:t>
      </w:r>
      <w:r>
        <w:rPr>
          <w:rFonts w:asciiTheme="minorHAnsi" w:eastAsiaTheme="minorHAnsi" w:hAnsiTheme="minorHAnsi" w:cs="Arial"/>
          <w:i/>
          <w:iCs/>
          <w:sz w:val="22"/>
          <w:szCs w:val="22"/>
          <w:lang w:eastAsia="en-US"/>
        </w:rPr>
        <w:t>AN INDIVIDUAL WITH CONTROL</w:t>
      </w:r>
      <w:r w:rsidR="003467A2">
        <w:rPr>
          <w:rFonts w:asciiTheme="minorHAnsi" w:eastAsiaTheme="minorHAnsi" w:hAnsiTheme="minorHAnsi" w:cs="Arial"/>
          <w:i/>
          <w:iCs/>
          <w:sz w:val="22"/>
          <w:szCs w:val="22"/>
          <w:lang w:eastAsia="en-US"/>
        </w:rPr>
        <w:t xml:space="preserve"> OF THE RELEVANT OVERSEAS PERSON</w:t>
      </w:r>
    </w:p>
    <w:p w14:paraId="298F436C" w14:textId="29E6DF41" w:rsidR="004258B2" w:rsidRPr="00E477FF" w:rsidRDefault="00E477FF" w:rsidP="005358D0">
      <w:pPr>
        <w:pStyle w:val="NormalWeb"/>
        <w:spacing w:before="0" w:beforeAutospacing="0" w:after="120" w:afterAutospacing="0"/>
        <w:jc w:val="both"/>
        <w:rPr>
          <w:rFonts w:asciiTheme="minorHAnsi" w:eastAsiaTheme="minorHAnsi" w:hAnsiTheme="minorHAnsi" w:cs="Arial"/>
          <w:i/>
          <w:iCs/>
          <w:color w:val="FF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i/>
          <w:iCs/>
          <w:color w:val="FF0000"/>
          <w:sz w:val="22"/>
          <w:szCs w:val="22"/>
          <w:lang w:eastAsia="en-US"/>
        </w:rPr>
        <w:t>Choose one only.</w:t>
      </w:r>
      <w:r w:rsidR="004258B2" w:rsidRPr="00E477FF">
        <w:rPr>
          <w:rFonts w:asciiTheme="minorHAnsi" w:eastAsiaTheme="minorHAnsi" w:hAnsiTheme="minorHAnsi" w:cs="Arial"/>
          <w:i/>
          <w:iCs/>
          <w:color w:val="FF0000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="Arial"/>
          <w:i/>
          <w:iCs/>
          <w:color w:val="FF0000"/>
          <w:sz w:val="22"/>
          <w:szCs w:val="22"/>
          <w:lang w:eastAsia="en-US"/>
        </w:rPr>
        <w:t xml:space="preserve">Either </w:t>
      </w:r>
    </w:p>
    <w:p w14:paraId="25602FA3" w14:textId="77777777" w:rsidR="005427E6" w:rsidRDefault="004258B2" w:rsidP="00C4765B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cs="Arial"/>
        </w:rPr>
      </w:pPr>
      <w:r>
        <w:rPr>
          <w:rFonts w:cs="Arial"/>
        </w:rPr>
        <w:t>None of the factors set out at 18</w:t>
      </w:r>
      <w:proofErr w:type="gramStart"/>
      <w:r>
        <w:rPr>
          <w:rFonts w:cs="Arial"/>
        </w:rPr>
        <w:t>A(</w:t>
      </w:r>
      <w:proofErr w:type="gramEnd"/>
      <w:r>
        <w:rPr>
          <w:rFonts w:cs="Arial"/>
        </w:rPr>
        <w:t xml:space="preserve">4) of </w:t>
      </w:r>
      <w:r w:rsidR="002753F8" w:rsidRPr="00D92DB8">
        <w:rPr>
          <w:rFonts w:cs="Arial"/>
        </w:rPr>
        <w:t>the Overseas Investment Act 2005</w:t>
      </w:r>
      <w:r>
        <w:rPr>
          <w:rFonts w:cs="Arial"/>
        </w:rPr>
        <w:t xml:space="preserve"> regarding character and capability is relevant to me.</w:t>
      </w:r>
      <w:r w:rsidR="00C4765B">
        <w:rPr>
          <w:rFonts w:cs="Arial"/>
        </w:rPr>
        <w:t xml:space="preserve"> </w:t>
      </w:r>
    </w:p>
    <w:p w14:paraId="115F8453" w14:textId="6659FD88" w:rsidR="00C4765B" w:rsidRPr="00C4765B" w:rsidRDefault="00C4765B" w:rsidP="00C4765B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cs="Arial"/>
        </w:rPr>
      </w:pPr>
      <w:r w:rsidRPr="00C4765B">
        <w:rPr>
          <w:szCs w:val="18"/>
        </w:rPr>
        <w:t>I am not unsuitable to own or control New Zealand assets.</w:t>
      </w:r>
    </w:p>
    <w:p w14:paraId="7D15BA2F" w14:textId="04AA49A1" w:rsidR="004258B2" w:rsidRPr="00E477FF" w:rsidRDefault="004258B2" w:rsidP="004258B2">
      <w:pPr>
        <w:shd w:val="clear" w:color="auto" w:fill="FFFFFF"/>
        <w:spacing w:after="120" w:line="240" w:lineRule="auto"/>
        <w:jc w:val="both"/>
        <w:rPr>
          <w:rFonts w:cs="Arial"/>
          <w:i/>
          <w:iCs/>
          <w:color w:val="FF0000"/>
        </w:rPr>
      </w:pPr>
      <w:r w:rsidRPr="00E477FF">
        <w:rPr>
          <w:rFonts w:cs="Arial"/>
          <w:i/>
          <w:iCs/>
          <w:color w:val="FF0000"/>
        </w:rPr>
        <w:t xml:space="preserve">Or </w:t>
      </w:r>
    </w:p>
    <w:p w14:paraId="75783423" w14:textId="53F360E4" w:rsidR="004258B2" w:rsidRDefault="004258B2" w:rsidP="004258B2">
      <w:pPr>
        <w:numPr>
          <w:ilvl w:val="0"/>
          <w:numId w:val="7"/>
        </w:numPr>
        <w:shd w:val="clear" w:color="auto" w:fill="FFFFFF"/>
        <w:spacing w:after="120" w:line="240" w:lineRule="auto"/>
        <w:jc w:val="both"/>
        <w:rPr>
          <w:rFonts w:cs="Arial"/>
        </w:rPr>
      </w:pPr>
      <w:r>
        <w:rPr>
          <w:rFonts w:cs="Arial"/>
        </w:rPr>
        <w:t>The factor[s] set out at section [18A(4)(a)(</w:t>
      </w:r>
      <w:proofErr w:type="spellStart"/>
      <w:r>
        <w:rPr>
          <w:rFonts w:cs="Arial"/>
        </w:rPr>
        <w:t>i</w:t>
      </w:r>
      <w:proofErr w:type="spellEnd"/>
      <w:r>
        <w:rPr>
          <w:rFonts w:cs="Arial"/>
        </w:rPr>
        <w:t>), 18A(4)(a)(ii) …, Overseas Investment Act 2005] [is/are] relevant to me:</w:t>
      </w:r>
    </w:p>
    <w:p w14:paraId="1F750DDD" w14:textId="77777777" w:rsidR="004258B2" w:rsidRDefault="004258B2" w:rsidP="004258B2">
      <w:pPr>
        <w:numPr>
          <w:ilvl w:val="1"/>
          <w:numId w:val="7"/>
        </w:numPr>
        <w:shd w:val="clear" w:color="auto" w:fill="FFFFFF"/>
        <w:spacing w:after="120" w:line="240" w:lineRule="auto"/>
        <w:jc w:val="both"/>
        <w:rPr>
          <w:rFonts w:cs="Arial"/>
        </w:rPr>
      </w:pPr>
      <w:r>
        <w:rPr>
          <w:rFonts w:cs="Arial"/>
        </w:rPr>
        <w:t xml:space="preserve">[brief description of each </w:t>
      </w:r>
      <w:r>
        <w:rPr>
          <w:szCs w:val="18"/>
        </w:rPr>
        <w:t>offence, contravention, or other matter]</w:t>
      </w:r>
    </w:p>
    <w:p w14:paraId="68A1A788" w14:textId="3E7255DE" w:rsidR="004258B2" w:rsidRDefault="004258B2" w:rsidP="005427E6">
      <w:pPr>
        <w:numPr>
          <w:ilvl w:val="0"/>
          <w:numId w:val="7"/>
        </w:numPr>
        <w:shd w:val="clear" w:color="auto" w:fill="FFFFFF"/>
        <w:spacing w:after="120" w:line="240" w:lineRule="auto"/>
        <w:jc w:val="both"/>
        <w:rPr>
          <w:rFonts w:cs="Arial"/>
        </w:rPr>
      </w:pPr>
      <w:r>
        <w:rPr>
          <w:szCs w:val="18"/>
        </w:rPr>
        <w:lastRenderedPageBreak/>
        <w:t>As per the submissions provided to the Overseas Investment Office on [date], I am not unsuitable to own or control New Zealand assets.</w:t>
      </w:r>
    </w:p>
    <w:p w14:paraId="0BEE4882" w14:textId="77777777" w:rsidR="00C4765B" w:rsidRDefault="00C4765B" w:rsidP="00C4765B">
      <w:pPr>
        <w:shd w:val="clear" w:color="auto" w:fill="FFFFFF"/>
        <w:spacing w:after="120" w:line="240" w:lineRule="auto"/>
        <w:ind w:left="567"/>
        <w:jc w:val="both"/>
        <w:rPr>
          <w:rFonts w:cs="Arial"/>
          <w:szCs w:val="20"/>
        </w:rPr>
      </w:pPr>
    </w:p>
    <w:p w14:paraId="78FA723F" w14:textId="4BD6D676" w:rsidR="004258B2" w:rsidRDefault="004258B2" w:rsidP="004258B2">
      <w:pPr>
        <w:numPr>
          <w:ilvl w:val="0"/>
          <w:numId w:val="7"/>
        </w:numPr>
        <w:shd w:val="clear" w:color="auto" w:fill="FFFFFF"/>
        <w:spacing w:after="120" w:line="240" w:lineRule="auto"/>
        <w:jc w:val="both"/>
        <w:rPr>
          <w:rFonts w:cs="Arial"/>
          <w:szCs w:val="20"/>
        </w:rPr>
      </w:pPr>
      <w:r w:rsidRPr="002753F8">
        <w:rPr>
          <w:rFonts w:cs="Arial"/>
          <w:szCs w:val="20"/>
        </w:rPr>
        <w:t>I understand that if I make any false</w:t>
      </w:r>
      <w:r>
        <w:rPr>
          <w:rFonts w:cs="Arial"/>
          <w:szCs w:val="20"/>
        </w:rPr>
        <w:t xml:space="preserve"> or misleading</w:t>
      </w:r>
      <w:r w:rsidRPr="002753F8">
        <w:rPr>
          <w:rFonts w:cs="Arial"/>
          <w:szCs w:val="20"/>
        </w:rPr>
        <w:t xml:space="preserve"> statements, or </w:t>
      </w:r>
      <w:r>
        <w:rPr>
          <w:rFonts w:cs="Arial"/>
          <w:szCs w:val="20"/>
        </w:rPr>
        <w:t xml:space="preserve">make any material omission, </w:t>
      </w:r>
      <w:r w:rsidRPr="002753F8">
        <w:rPr>
          <w:rFonts w:cs="Arial"/>
          <w:szCs w:val="20"/>
        </w:rPr>
        <w:t>I may be committing an offence and be liable to prosecution.</w:t>
      </w:r>
    </w:p>
    <w:p w14:paraId="032336D0" w14:textId="77777777" w:rsidR="004258B2" w:rsidRPr="00D92DB8" w:rsidRDefault="004258B2" w:rsidP="004258B2">
      <w:pPr>
        <w:shd w:val="clear" w:color="auto" w:fill="FFFFFF"/>
        <w:spacing w:after="120" w:line="240" w:lineRule="auto"/>
        <w:ind w:left="567"/>
        <w:jc w:val="both"/>
        <w:rPr>
          <w:rFonts w:cs="Arial"/>
        </w:rPr>
      </w:pPr>
    </w:p>
    <w:p w14:paraId="5F67360C" w14:textId="219B9595" w:rsidR="00676603" w:rsidRPr="00676603" w:rsidRDefault="00676603" w:rsidP="00676603">
      <w:pPr>
        <w:shd w:val="clear" w:color="auto" w:fill="FFFFFF"/>
        <w:spacing w:after="120" w:line="240" w:lineRule="auto"/>
        <w:rPr>
          <w:rFonts w:cs="Arial"/>
          <w:i/>
          <w:iCs/>
        </w:rPr>
      </w:pPr>
      <w:r w:rsidRPr="00676603">
        <w:rPr>
          <w:rFonts w:cs="Arial"/>
          <w:i/>
          <w:iCs/>
        </w:rPr>
        <w:t xml:space="preserve">OPTION 2: IF THE </w:t>
      </w:r>
      <w:r w:rsidR="00E477FF">
        <w:rPr>
          <w:rFonts w:cs="Arial"/>
          <w:i/>
          <w:iCs/>
        </w:rPr>
        <w:t xml:space="preserve">DECLARANT IS ACTING ON BEHALF OF THE </w:t>
      </w:r>
      <w:r w:rsidRPr="00676603">
        <w:rPr>
          <w:rFonts w:cs="Arial"/>
          <w:i/>
          <w:iCs/>
        </w:rPr>
        <w:t xml:space="preserve">RELEVANT OVERSEAS PERSON </w:t>
      </w:r>
      <w:r w:rsidR="00E477FF">
        <w:rPr>
          <w:rFonts w:cs="Arial"/>
          <w:i/>
          <w:iCs/>
        </w:rPr>
        <w:t xml:space="preserve">WHICH </w:t>
      </w:r>
      <w:r w:rsidR="00C4765B">
        <w:rPr>
          <w:rFonts w:cs="Arial"/>
          <w:i/>
          <w:iCs/>
        </w:rPr>
        <w:t xml:space="preserve">IS/ARE AN </w:t>
      </w:r>
      <w:r w:rsidR="00E477FF">
        <w:rPr>
          <w:rFonts w:cs="Arial"/>
          <w:i/>
          <w:iCs/>
        </w:rPr>
        <w:t>ENTITY/ENTITIES AND ON BEHALF OF INDIVIDUALS WITH CONTROL OF THE RELEVANT OVERSEAS PERSON</w:t>
      </w:r>
    </w:p>
    <w:p w14:paraId="1085FB7B" w14:textId="77777777" w:rsidR="00CB1003" w:rsidRPr="00D92DB8" w:rsidRDefault="00CB1003" w:rsidP="00CB1003">
      <w:pPr>
        <w:pStyle w:val="NormalWeb"/>
        <w:spacing w:before="0" w:beforeAutospacing="0" w:after="120" w:afterAutospacing="0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D92DB8">
        <w:rPr>
          <w:rFonts w:asciiTheme="minorHAnsi" w:eastAsiaTheme="minorHAnsi" w:hAnsiTheme="minorHAnsi" w:cs="Arial"/>
          <w:sz w:val="22"/>
          <w:szCs w:val="22"/>
          <w:lang w:eastAsia="en-US"/>
        </w:rPr>
        <w:t>I, [Name], of [place of abode and occupation], solemnly and sincerely declare that:</w:t>
      </w:r>
    </w:p>
    <w:p w14:paraId="5C38277E" w14:textId="236FAB5D" w:rsidR="00E477FF" w:rsidRDefault="00E477FF" w:rsidP="00876E43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cs="Arial"/>
        </w:rPr>
      </w:pPr>
      <w:r>
        <w:rPr>
          <w:rFonts w:cs="Arial"/>
        </w:rPr>
        <w:t xml:space="preserve">In this statutory declaration, </w:t>
      </w:r>
      <w:r w:rsidRPr="00E477FF">
        <w:rPr>
          <w:rFonts w:cs="Arial"/>
          <w:b/>
          <w:bCs/>
        </w:rPr>
        <w:t xml:space="preserve">Individuals </w:t>
      </w:r>
      <w:r>
        <w:rPr>
          <w:rFonts w:cs="Arial"/>
        </w:rPr>
        <w:t xml:space="preserve">means: </w:t>
      </w:r>
    </w:p>
    <w:p w14:paraId="0E0DD0A7" w14:textId="25927015" w:rsidR="00E477FF" w:rsidRDefault="00E477FF" w:rsidP="00E477FF">
      <w:pPr>
        <w:pStyle w:val="ListParagraph"/>
        <w:numPr>
          <w:ilvl w:val="0"/>
          <w:numId w:val="20"/>
        </w:numPr>
        <w:shd w:val="clear" w:color="auto" w:fill="FFFFFF"/>
        <w:spacing w:after="120" w:line="240" w:lineRule="auto"/>
        <w:rPr>
          <w:rFonts w:cs="Arial"/>
        </w:rPr>
      </w:pPr>
      <w:r>
        <w:rPr>
          <w:rFonts w:cs="Arial"/>
        </w:rPr>
        <w:t>[individual with control, excluding non-overseas persons];</w:t>
      </w:r>
      <w:r w:rsidR="00E73A99">
        <w:rPr>
          <w:rFonts w:cs="Arial"/>
        </w:rPr>
        <w:t xml:space="preserve"> and/or</w:t>
      </w:r>
    </w:p>
    <w:p w14:paraId="793D83AD" w14:textId="69590A26" w:rsidR="00E477FF" w:rsidRDefault="00E477FF" w:rsidP="00E73A99">
      <w:pPr>
        <w:pStyle w:val="ListParagraph"/>
        <w:numPr>
          <w:ilvl w:val="0"/>
          <w:numId w:val="20"/>
        </w:numPr>
        <w:shd w:val="clear" w:color="auto" w:fill="FFFFFF"/>
        <w:spacing w:after="120" w:line="240" w:lineRule="auto"/>
        <w:rPr>
          <w:rFonts w:cs="Arial"/>
        </w:rPr>
      </w:pPr>
      <w:r>
        <w:rPr>
          <w:rFonts w:cs="Arial"/>
        </w:rPr>
        <w:t>[individual</w:t>
      </w:r>
      <w:r w:rsidR="00E73A99">
        <w:rPr>
          <w:rFonts w:cs="Arial"/>
        </w:rPr>
        <w:t>s who are ROP</w:t>
      </w:r>
      <w:r w:rsidR="00D05228">
        <w:rPr>
          <w:rFonts w:cs="Arial"/>
        </w:rPr>
        <w:t>]</w:t>
      </w:r>
      <w:r>
        <w:rPr>
          <w:rFonts w:cs="Arial"/>
        </w:rPr>
        <w:t>.</w:t>
      </w:r>
    </w:p>
    <w:p w14:paraId="2455C6C4" w14:textId="5841D18E" w:rsidR="00E477FF" w:rsidRDefault="00E477FF" w:rsidP="00876E43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cs="Arial"/>
        </w:rPr>
      </w:pPr>
      <w:r>
        <w:rPr>
          <w:rFonts w:cs="Arial"/>
        </w:rPr>
        <w:t xml:space="preserve">In this statutory declaration, </w:t>
      </w:r>
      <w:r w:rsidRPr="00E477FF">
        <w:rPr>
          <w:rFonts w:cs="Arial"/>
          <w:b/>
          <w:bCs/>
        </w:rPr>
        <w:t>Entities</w:t>
      </w:r>
      <w:r>
        <w:rPr>
          <w:rFonts w:cs="Arial"/>
        </w:rPr>
        <w:t xml:space="preserve"> means: </w:t>
      </w:r>
    </w:p>
    <w:p w14:paraId="7011123E" w14:textId="4C23DB10" w:rsidR="00E477FF" w:rsidRDefault="00E477FF" w:rsidP="00E477FF">
      <w:pPr>
        <w:pStyle w:val="ListParagraph"/>
        <w:numPr>
          <w:ilvl w:val="0"/>
          <w:numId w:val="21"/>
        </w:numPr>
        <w:shd w:val="clear" w:color="auto" w:fill="FFFFFF"/>
        <w:spacing w:after="120" w:line="240" w:lineRule="auto"/>
        <w:rPr>
          <w:rFonts w:cs="Arial"/>
        </w:rPr>
      </w:pPr>
      <w:r>
        <w:rPr>
          <w:rFonts w:cs="Arial"/>
        </w:rPr>
        <w:t>[Relevant overseas person</w:t>
      </w:r>
      <w:proofErr w:type="gramStart"/>
      <w:r>
        <w:rPr>
          <w:rFonts w:cs="Arial"/>
        </w:rPr>
        <w:t>];</w:t>
      </w:r>
      <w:proofErr w:type="gramEnd"/>
    </w:p>
    <w:p w14:paraId="1697C630" w14:textId="7BA2144B" w:rsidR="00E477FF" w:rsidRDefault="00E477FF" w:rsidP="00E477FF">
      <w:pPr>
        <w:pStyle w:val="ListParagraph"/>
        <w:numPr>
          <w:ilvl w:val="0"/>
          <w:numId w:val="21"/>
        </w:numPr>
        <w:shd w:val="clear" w:color="auto" w:fill="FFFFFF"/>
        <w:spacing w:after="120" w:line="240" w:lineRule="auto"/>
        <w:rPr>
          <w:rFonts w:cs="Arial"/>
        </w:rPr>
      </w:pPr>
      <w:r>
        <w:rPr>
          <w:rFonts w:cs="Arial"/>
        </w:rPr>
        <w:t xml:space="preserve">[Relevant overseas person]; and </w:t>
      </w:r>
    </w:p>
    <w:p w14:paraId="09CA256B" w14:textId="2F98F1A3" w:rsidR="00E477FF" w:rsidRPr="00E477FF" w:rsidRDefault="00E477FF" w:rsidP="00E477FF">
      <w:pPr>
        <w:pStyle w:val="ListParagraph"/>
        <w:numPr>
          <w:ilvl w:val="0"/>
          <w:numId w:val="21"/>
        </w:numPr>
        <w:shd w:val="clear" w:color="auto" w:fill="FFFFFF"/>
        <w:spacing w:after="120" w:line="240" w:lineRule="auto"/>
        <w:rPr>
          <w:rFonts w:cs="Arial"/>
        </w:rPr>
      </w:pPr>
      <w:r>
        <w:rPr>
          <w:rFonts w:cs="Arial"/>
        </w:rPr>
        <w:t>[Relevant overseas person].</w:t>
      </w:r>
    </w:p>
    <w:p w14:paraId="5CA59644" w14:textId="7DFD58DC" w:rsidR="00876E43" w:rsidRDefault="00876E43" w:rsidP="00876E43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cs="Arial"/>
        </w:rPr>
      </w:pPr>
      <w:r w:rsidRPr="00876E43">
        <w:rPr>
          <w:rFonts w:cs="Arial"/>
        </w:rPr>
        <w:t xml:space="preserve">I have </w:t>
      </w:r>
      <w:r w:rsidR="003B52FF">
        <w:rPr>
          <w:rFonts w:cs="Arial"/>
        </w:rPr>
        <w:t xml:space="preserve">full </w:t>
      </w:r>
      <w:r w:rsidRPr="00876E43">
        <w:rPr>
          <w:rFonts w:cs="Arial"/>
        </w:rPr>
        <w:t xml:space="preserve">authority to make this statement on </w:t>
      </w:r>
      <w:r w:rsidR="00E477FF">
        <w:rPr>
          <w:rFonts w:cs="Arial"/>
        </w:rPr>
        <w:t>each of the Individuals and Entities’ behalf.</w:t>
      </w:r>
    </w:p>
    <w:p w14:paraId="639129A4" w14:textId="77777777" w:rsidR="00E477FF" w:rsidRPr="00E477FF" w:rsidRDefault="00E477FF" w:rsidP="00E477FF">
      <w:pPr>
        <w:pStyle w:val="ListParagraph"/>
        <w:numPr>
          <w:ilvl w:val="0"/>
          <w:numId w:val="2"/>
        </w:numPr>
        <w:rPr>
          <w:rFonts w:cs="Arial"/>
        </w:rPr>
      </w:pPr>
      <w:r w:rsidRPr="00E477FF">
        <w:rPr>
          <w:rFonts w:cs="Arial"/>
        </w:rPr>
        <w:t>I have taken steps to verify the information contained in this declaration, including having made enquiries with the individual/s listed above who [has/have] confirmed that the statements in this declaration relevant to them are correct.</w:t>
      </w:r>
    </w:p>
    <w:p w14:paraId="1CDC5066" w14:textId="3FCA6F2C" w:rsidR="00B82360" w:rsidRPr="00E477FF" w:rsidRDefault="00E477FF" w:rsidP="00B82360">
      <w:pPr>
        <w:shd w:val="clear" w:color="auto" w:fill="FFFFFF"/>
        <w:spacing w:after="120" w:line="240" w:lineRule="auto"/>
        <w:rPr>
          <w:rFonts w:cs="Arial"/>
          <w:i/>
          <w:iCs/>
          <w:color w:val="FF0000"/>
        </w:rPr>
      </w:pPr>
      <w:r>
        <w:rPr>
          <w:rFonts w:cs="Arial"/>
          <w:i/>
          <w:iCs/>
          <w:color w:val="FF0000"/>
        </w:rPr>
        <w:t xml:space="preserve">Choose only one. </w:t>
      </w:r>
      <w:r w:rsidR="00B82360" w:rsidRPr="00E477FF">
        <w:rPr>
          <w:rFonts w:cs="Arial"/>
          <w:i/>
          <w:iCs/>
          <w:color w:val="FF0000"/>
        </w:rPr>
        <w:t>Either</w:t>
      </w:r>
    </w:p>
    <w:p w14:paraId="35A8FD5C" w14:textId="77777777" w:rsidR="00CB1003" w:rsidRDefault="00876E43" w:rsidP="00317016">
      <w:pPr>
        <w:pStyle w:val="ListParagraph"/>
        <w:numPr>
          <w:ilvl w:val="0"/>
          <w:numId w:val="13"/>
        </w:numPr>
        <w:spacing w:after="260" w:line="260" w:lineRule="atLeast"/>
        <w:contextualSpacing w:val="0"/>
        <w:jc w:val="both"/>
        <w:rPr>
          <w:rFonts w:cstheme="minorHAnsi"/>
        </w:rPr>
      </w:pPr>
      <w:r w:rsidRPr="00942637">
        <w:rPr>
          <w:rFonts w:cstheme="minorHAnsi"/>
        </w:rPr>
        <w:t>None of the factors set out in section 18</w:t>
      </w:r>
      <w:proofErr w:type="gramStart"/>
      <w:r w:rsidRPr="00942637">
        <w:rPr>
          <w:rFonts w:cstheme="minorHAnsi"/>
        </w:rPr>
        <w:t>A(</w:t>
      </w:r>
      <w:proofErr w:type="gramEnd"/>
      <w:r w:rsidRPr="00942637">
        <w:rPr>
          <w:rFonts w:cstheme="minorHAnsi"/>
        </w:rPr>
        <w:t xml:space="preserve">4) of the Overseas Investment Act 2005 regarding character and capability are relevant to </w:t>
      </w:r>
      <w:r w:rsidR="00E477FF">
        <w:rPr>
          <w:rFonts w:cstheme="minorHAnsi"/>
        </w:rPr>
        <w:t xml:space="preserve">the Individuals and Entities. </w:t>
      </w:r>
    </w:p>
    <w:p w14:paraId="55DD4705" w14:textId="3519B106" w:rsidR="00CB1003" w:rsidRDefault="00CB1003" w:rsidP="00CB1003">
      <w:pPr>
        <w:pStyle w:val="ListParagraph"/>
        <w:numPr>
          <w:ilvl w:val="0"/>
          <w:numId w:val="13"/>
        </w:numPr>
        <w:spacing w:after="260" w:line="260" w:lineRule="atLeast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The Individuals and the Entities are </w:t>
      </w:r>
      <w:r w:rsidRPr="00942637">
        <w:rPr>
          <w:rFonts w:cstheme="minorHAnsi"/>
        </w:rPr>
        <w:t>not unsuitable to own or control any sensitive New Zealand assets.</w:t>
      </w:r>
    </w:p>
    <w:p w14:paraId="74670C11" w14:textId="5D3FBAD2" w:rsidR="00E477FF" w:rsidRPr="00E477FF" w:rsidRDefault="00E477FF" w:rsidP="00E477FF">
      <w:pPr>
        <w:shd w:val="clear" w:color="auto" w:fill="FFFFFF"/>
        <w:spacing w:after="120" w:line="240" w:lineRule="auto"/>
        <w:rPr>
          <w:rFonts w:cs="Arial"/>
          <w:i/>
          <w:iCs/>
          <w:color w:val="FF0000"/>
        </w:rPr>
      </w:pPr>
      <w:r w:rsidRPr="00E477FF">
        <w:rPr>
          <w:rFonts w:cs="Arial"/>
          <w:i/>
          <w:iCs/>
          <w:color w:val="FF0000"/>
        </w:rPr>
        <w:t xml:space="preserve">Or </w:t>
      </w:r>
    </w:p>
    <w:p w14:paraId="0DFDB6C4" w14:textId="23A7C41A" w:rsidR="00E477FF" w:rsidRDefault="00E477FF" w:rsidP="00317016">
      <w:pPr>
        <w:numPr>
          <w:ilvl w:val="0"/>
          <w:numId w:val="22"/>
        </w:numPr>
        <w:shd w:val="clear" w:color="auto" w:fill="FFFFFF"/>
        <w:spacing w:after="120" w:line="240" w:lineRule="auto"/>
        <w:jc w:val="both"/>
        <w:rPr>
          <w:rFonts w:cs="Arial"/>
        </w:rPr>
      </w:pPr>
      <w:r>
        <w:rPr>
          <w:rFonts w:cs="Arial"/>
        </w:rPr>
        <w:t>The factor[s] set out at section [18A(4)(a)(</w:t>
      </w:r>
      <w:proofErr w:type="spellStart"/>
      <w:r>
        <w:rPr>
          <w:rFonts w:cs="Arial"/>
        </w:rPr>
        <w:t>i</w:t>
      </w:r>
      <w:proofErr w:type="spellEnd"/>
      <w:r>
        <w:rPr>
          <w:rFonts w:cs="Arial"/>
        </w:rPr>
        <w:t>), 18A(4)(a)(ii) …, Overseas Investment Act 2005] [is/are] relevant to [name of Individual or Entity]:</w:t>
      </w:r>
    </w:p>
    <w:p w14:paraId="595922D1" w14:textId="77777777" w:rsidR="00E477FF" w:rsidRDefault="00E477FF" w:rsidP="00CB1003">
      <w:pPr>
        <w:numPr>
          <w:ilvl w:val="1"/>
          <w:numId w:val="22"/>
        </w:numPr>
        <w:shd w:val="clear" w:color="auto" w:fill="FFFFFF"/>
        <w:spacing w:after="120" w:line="240" w:lineRule="auto"/>
        <w:jc w:val="both"/>
        <w:rPr>
          <w:rFonts w:cs="Arial"/>
        </w:rPr>
      </w:pPr>
      <w:r>
        <w:rPr>
          <w:rFonts w:cs="Arial"/>
        </w:rPr>
        <w:t xml:space="preserve">[brief description of each </w:t>
      </w:r>
      <w:r>
        <w:rPr>
          <w:szCs w:val="18"/>
        </w:rPr>
        <w:t>offence, contravention, or other matter]</w:t>
      </w:r>
    </w:p>
    <w:p w14:paraId="4B998CCF" w14:textId="40C25790" w:rsidR="00E477FF" w:rsidRDefault="00E477FF" w:rsidP="00CB1003">
      <w:pPr>
        <w:numPr>
          <w:ilvl w:val="0"/>
          <w:numId w:val="22"/>
        </w:numPr>
        <w:shd w:val="clear" w:color="auto" w:fill="FFFFFF"/>
        <w:spacing w:after="120" w:line="240" w:lineRule="auto"/>
        <w:jc w:val="both"/>
        <w:rPr>
          <w:rFonts w:cs="Arial"/>
        </w:rPr>
      </w:pPr>
      <w:r>
        <w:rPr>
          <w:szCs w:val="18"/>
        </w:rPr>
        <w:t>As per the submissions provided to the Overseas Investment Office on [date], [name of the Individual or Entity] is/are not unsuitable to own or control New Zealand assets.</w:t>
      </w:r>
    </w:p>
    <w:p w14:paraId="4DBCFA38" w14:textId="77777777" w:rsidR="00E477FF" w:rsidRPr="00060D81" w:rsidRDefault="00E477FF" w:rsidP="008A70F2">
      <w:pPr>
        <w:spacing w:after="260" w:line="260" w:lineRule="atLeast"/>
        <w:jc w:val="both"/>
        <w:rPr>
          <w:rFonts w:cstheme="minorHAnsi"/>
        </w:rPr>
      </w:pPr>
    </w:p>
    <w:p w14:paraId="0AD0D38D" w14:textId="0824C1A5" w:rsidR="00B82360" w:rsidRPr="00E477FF" w:rsidRDefault="00B82360" w:rsidP="00CB1003">
      <w:pPr>
        <w:pStyle w:val="ListParagraph"/>
        <w:numPr>
          <w:ilvl w:val="0"/>
          <w:numId w:val="22"/>
        </w:numPr>
        <w:spacing w:after="260" w:line="260" w:lineRule="atLeast"/>
        <w:contextualSpacing w:val="0"/>
        <w:jc w:val="both"/>
        <w:rPr>
          <w:rFonts w:cstheme="minorHAnsi"/>
        </w:rPr>
      </w:pPr>
      <w:r w:rsidRPr="00E477FF">
        <w:rPr>
          <w:rFonts w:cstheme="minorHAnsi"/>
        </w:rPr>
        <w:t>I understand that if I make any false or misleading statements, or make any material omission, I may be committing an offence and be liable to prosecution.</w:t>
      </w:r>
    </w:p>
    <w:p w14:paraId="5AC3929A" w14:textId="77777777" w:rsidR="009F0B07" w:rsidRDefault="009F0B07" w:rsidP="00D92DB8">
      <w:pPr>
        <w:shd w:val="clear" w:color="auto" w:fill="FFFFFF"/>
        <w:spacing w:after="120" w:line="240" w:lineRule="auto"/>
        <w:jc w:val="both"/>
      </w:pPr>
    </w:p>
    <w:p w14:paraId="4469858F" w14:textId="685D34E8" w:rsidR="002753F8" w:rsidRPr="002753F8" w:rsidRDefault="002753F8" w:rsidP="00D92DB8">
      <w:pPr>
        <w:shd w:val="clear" w:color="auto" w:fill="FFFFFF"/>
        <w:spacing w:after="120" w:line="240" w:lineRule="auto"/>
        <w:jc w:val="both"/>
        <w:rPr>
          <w:rFonts w:cs="Arial"/>
          <w:szCs w:val="20"/>
        </w:rPr>
      </w:pPr>
      <w:r>
        <w:t>I make this solemn declaration conscientiously believing the same to be true and by virtue of the Oaths and Declarations Act 1957.</w:t>
      </w: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681"/>
        <w:gridCol w:w="6095"/>
      </w:tblGrid>
      <w:tr w:rsidR="005358D0" w14:paraId="5E5528B5" w14:textId="77777777" w:rsidTr="005358D0">
        <w:tc>
          <w:tcPr>
            <w:tcW w:w="9781" w:type="dxa"/>
            <w:gridSpan w:val="3"/>
            <w:tcBorders>
              <w:bottom w:val="nil"/>
            </w:tcBorders>
          </w:tcPr>
          <w:p w14:paraId="1997599A" w14:textId="1148F853" w:rsidR="005358D0" w:rsidRDefault="005358D0" w:rsidP="00D92DB8">
            <w:pPr>
              <w:contextualSpacing/>
            </w:pPr>
            <w:r>
              <w:t>Declared at [place] on [date]</w:t>
            </w:r>
          </w:p>
        </w:tc>
      </w:tr>
      <w:tr w:rsidR="00D92DB8" w14:paraId="747DDE8E" w14:textId="77777777" w:rsidTr="005358D0">
        <w:tc>
          <w:tcPr>
            <w:tcW w:w="3005" w:type="dxa"/>
            <w:tcBorders>
              <w:right w:val="nil"/>
            </w:tcBorders>
          </w:tcPr>
          <w:p w14:paraId="5D924C7C" w14:textId="203EE321" w:rsidR="00D92DB8" w:rsidRDefault="00D92DB8" w:rsidP="00D92DB8">
            <w:pPr>
              <w:contextualSpacing/>
            </w:pPr>
          </w:p>
        </w:tc>
        <w:tc>
          <w:tcPr>
            <w:tcW w:w="681" w:type="dxa"/>
            <w:tcBorders>
              <w:left w:val="nil"/>
              <w:right w:val="nil"/>
            </w:tcBorders>
          </w:tcPr>
          <w:p w14:paraId="508D275C" w14:textId="77777777" w:rsidR="00D92DB8" w:rsidRDefault="00D92DB8" w:rsidP="00D92DB8">
            <w:pPr>
              <w:contextualSpacing/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</w:tcBorders>
          </w:tcPr>
          <w:p w14:paraId="522BC6FE" w14:textId="279C1A71" w:rsidR="00D92DB8" w:rsidRDefault="00D92DB8" w:rsidP="005358D0">
            <w:pPr>
              <w:contextualSpacing/>
            </w:pPr>
            <w:r>
              <w:t>Signature of the declarant</w:t>
            </w:r>
          </w:p>
        </w:tc>
      </w:tr>
      <w:tr w:rsidR="00D92DB8" w14:paraId="33D25947" w14:textId="77777777" w:rsidTr="005358D0">
        <w:tc>
          <w:tcPr>
            <w:tcW w:w="9781" w:type="dxa"/>
            <w:gridSpan w:val="3"/>
          </w:tcPr>
          <w:p w14:paraId="28B7F22C" w14:textId="4300A3AE" w:rsidR="00D92DB8" w:rsidRDefault="00D92DB8" w:rsidP="00D92DB8">
            <w:pPr>
              <w:contextualSpacing/>
            </w:pPr>
            <w:r>
              <w:t xml:space="preserve">Before me </w:t>
            </w:r>
          </w:p>
        </w:tc>
      </w:tr>
      <w:tr w:rsidR="00D92DB8" w14:paraId="5C86906A" w14:textId="77777777" w:rsidTr="005358D0">
        <w:tc>
          <w:tcPr>
            <w:tcW w:w="3005" w:type="dxa"/>
            <w:tcBorders>
              <w:right w:val="nil"/>
            </w:tcBorders>
          </w:tcPr>
          <w:p w14:paraId="27B7C3B9" w14:textId="77777777" w:rsidR="00D92DB8" w:rsidRDefault="00D92DB8" w:rsidP="00D92DB8">
            <w:pPr>
              <w:contextualSpacing/>
            </w:pPr>
          </w:p>
        </w:tc>
        <w:tc>
          <w:tcPr>
            <w:tcW w:w="681" w:type="dxa"/>
            <w:tcBorders>
              <w:left w:val="nil"/>
              <w:right w:val="nil"/>
            </w:tcBorders>
          </w:tcPr>
          <w:p w14:paraId="4FDC5C42" w14:textId="77777777" w:rsidR="00D92DB8" w:rsidRDefault="00D92DB8" w:rsidP="00D92DB8">
            <w:pPr>
              <w:contextualSpacing/>
            </w:pPr>
          </w:p>
        </w:tc>
        <w:tc>
          <w:tcPr>
            <w:tcW w:w="6095" w:type="dxa"/>
            <w:tcBorders>
              <w:left w:val="nil"/>
              <w:bottom w:val="single" w:sz="4" w:space="0" w:color="auto"/>
            </w:tcBorders>
          </w:tcPr>
          <w:p w14:paraId="53CC37D4" w14:textId="77777777" w:rsidR="00D92DB8" w:rsidRDefault="00D92DB8" w:rsidP="005358D0">
            <w:pPr>
              <w:contextualSpacing/>
              <w:jc w:val="center"/>
            </w:pPr>
          </w:p>
        </w:tc>
      </w:tr>
      <w:tr w:rsidR="00D92DB8" w14:paraId="63BA0343" w14:textId="77777777" w:rsidTr="005358D0">
        <w:tc>
          <w:tcPr>
            <w:tcW w:w="3005" w:type="dxa"/>
            <w:tcBorders>
              <w:right w:val="nil"/>
            </w:tcBorders>
          </w:tcPr>
          <w:p w14:paraId="6366CB0F" w14:textId="77777777" w:rsidR="00D92DB8" w:rsidRDefault="00D92DB8" w:rsidP="00D92DB8">
            <w:pPr>
              <w:contextualSpacing/>
            </w:pPr>
          </w:p>
        </w:tc>
        <w:tc>
          <w:tcPr>
            <w:tcW w:w="681" w:type="dxa"/>
            <w:tcBorders>
              <w:left w:val="nil"/>
              <w:right w:val="nil"/>
            </w:tcBorders>
          </w:tcPr>
          <w:p w14:paraId="7988E46C" w14:textId="76C00221" w:rsidR="00D92DB8" w:rsidRDefault="00D92DB8" w:rsidP="00D92DB8">
            <w:pPr>
              <w:contextualSpacing/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</w:tcBorders>
          </w:tcPr>
          <w:p w14:paraId="13B00B9B" w14:textId="3F1EB302" w:rsidR="00D92DB8" w:rsidRDefault="00D92DB8" w:rsidP="005358D0">
            <w:pPr>
              <w:contextualSpacing/>
            </w:pPr>
            <w:r>
              <w:t>Witness signature</w:t>
            </w:r>
          </w:p>
        </w:tc>
      </w:tr>
      <w:tr w:rsidR="00D92DB8" w14:paraId="2E1F6B12" w14:textId="77777777" w:rsidTr="005358D0">
        <w:tc>
          <w:tcPr>
            <w:tcW w:w="3005" w:type="dxa"/>
            <w:tcBorders>
              <w:right w:val="nil"/>
            </w:tcBorders>
          </w:tcPr>
          <w:p w14:paraId="3982917A" w14:textId="77777777" w:rsidR="00D92DB8" w:rsidRDefault="00D92DB8" w:rsidP="00D92DB8">
            <w:pPr>
              <w:contextualSpacing/>
            </w:pPr>
          </w:p>
        </w:tc>
        <w:tc>
          <w:tcPr>
            <w:tcW w:w="681" w:type="dxa"/>
            <w:tcBorders>
              <w:left w:val="nil"/>
              <w:right w:val="nil"/>
            </w:tcBorders>
          </w:tcPr>
          <w:p w14:paraId="6113D8C0" w14:textId="77777777" w:rsidR="00D92DB8" w:rsidRDefault="00D92DB8" w:rsidP="00D92DB8">
            <w:pPr>
              <w:contextualSpacing/>
            </w:pPr>
          </w:p>
        </w:tc>
        <w:tc>
          <w:tcPr>
            <w:tcW w:w="6095" w:type="dxa"/>
            <w:tcBorders>
              <w:left w:val="nil"/>
              <w:bottom w:val="single" w:sz="4" w:space="0" w:color="auto"/>
            </w:tcBorders>
          </w:tcPr>
          <w:p w14:paraId="650A9A28" w14:textId="77777777" w:rsidR="00D92DB8" w:rsidRDefault="00D92DB8" w:rsidP="005358D0">
            <w:pPr>
              <w:contextualSpacing/>
              <w:jc w:val="center"/>
            </w:pPr>
          </w:p>
          <w:p w14:paraId="516F1903" w14:textId="1BDC147C" w:rsidR="009F0B07" w:rsidRDefault="009F0B07" w:rsidP="005358D0">
            <w:pPr>
              <w:contextualSpacing/>
              <w:jc w:val="center"/>
            </w:pPr>
          </w:p>
        </w:tc>
      </w:tr>
      <w:tr w:rsidR="00D92DB8" w14:paraId="32CCB0F4" w14:textId="77777777" w:rsidTr="005358D0">
        <w:tc>
          <w:tcPr>
            <w:tcW w:w="3005" w:type="dxa"/>
            <w:tcBorders>
              <w:right w:val="nil"/>
            </w:tcBorders>
          </w:tcPr>
          <w:p w14:paraId="15C0A72C" w14:textId="77777777" w:rsidR="00D92DB8" w:rsidRDefault="00D92DB8" w:rsidP="00D92DB8">
            <w:pPr>
              <w:contextualSpacing/>
            </w:pPr>
          </w:p>
        </w:tc>
        <w:tc>
          <w:tcPr>
            <w:tcW w:w="681" w:type="dxa"/>
            <w:tcBorders>
              <w:left w:val="nil"/>
              <w:right w:val="nil"/>
            </w:tcBorders>
          </w:tcPr>
          <w:p w14:paraId="1ADA08AC" w14:textId="0C29A352" w:rsidR="00D92DB8" w:rsidRDefault="00D92DB8" w:rsidP="00D92DB8">
            <w:pPr>
              <w:contextualSpacing/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</w:tcBorders>
          </w:tcPr>
          <w:p w14:paraId="398B5F1D" w14:textId="346B3457" w:rsidR="00D92DB8" w:rsidRDefault="00D92DB8" w:rsidP="005358D0">
            <w:pPr>
              <w:contextualSpacing/>
            </w:pPr>
            <w:r>
              <w:t>Witness name</w:t>
            </w:r>
          </w:p>
        </w:tc>
      </w:tr>
      <w:tr w:rsidR="00D92DB8" w14:paraId="03512508" w14:textId="77777777" w:rsidTr="005358D0">
        <w:tc>
          <w:tcPr>
            <w:tcW w:w="3005" w:type="dxa"/>
            <w:tcBorders>
              <w:right w:val="nil"/>
            </w:tcBorders>
          </w:tcPr>
          <w:p w14:paraId="4ABCA83A" w14:textId="523180A8" w:rsidR="00D92DB8" w:rsidRDefault="00D92DB8" w:rsidP="00D92DB8">
            <w:pPr>
              <w:contextualSpacing/>
            </w:pPr>
          </w:p>
        </w:tc>
        <w:tc>
          <w:tcPr>
            <w:tcW w:w="681" w:type="dxa"/>
            <w:tcBorders>
              <w:left w:val="nil"/>
              <w:right w:val="nil"/>
            </w:tcBorders>
          </w:tcPr>
          <w:p w14:paraId="428E892B" w14:textId="20BBBE80" w:rsidR="00D92DB8" w:rsidRDefault="00D92DB8" w:rsidP="00D92DB8">
            <w:pPr>
              <w:contextualSpacing/>
            </w:pPr>
          </w:p>
        </w:tc>
        <w:tc>
          <w:tcPr>
            <w:tcW w:w="6095" w:type="dxa"/>
            <w:tcBorders>
              <w:left w:val="nil"/>
              <w:bottom w:val="single" w:sz="4" w:space="0" w:color="auto"/>
            </w:tcBorders>
          </w:tcPr>
          <w:p w14:paraId="50E5182F" w14:textId="77777777" w:rsidR="00D92DB8" w:rsidRDefault="00D92DB8" w:rsidP="005358D0">
            <w:pPr>
              <w:contextualSpacing/>
              <w:jc w:val="center"/>
            </w:pPr>
          </w:p>
          <w:p w14:paraId="71311720" w14:textId="62C8EAD0" w:rsidR="009F0B07" w:rsidRDefault="009F0B07" w:rsidP="005358D0">
            <w:pPr>
              <w:contextualSpacing/>
              <w:jc w:val="center"/>
            </w:pPr>
          </w:p>
        </w:tc>
      </w:tr>
      <w:tr w:rsidR="005358D0" w14:paraId="2A2A4856" w14:textId="77777777" w:rsidTr="005358D0">
        <w:tc>
          <w:tcPr>
            <w:tcW w:w="3005" w:type="dxa"/>
            <w:tcBorders>
              <w:right w:val="nil"/>
            </w:tcBorders>
          </w:tcPr>
          <w:p w14:paraId="04176E48" w14:textId="77777777" w:rsidR="005358D0" w:rsidRDefault="005358D0" w:rsidP="00D92DB8">
            <w:pPr>
              <w:contextualSpacing/>
            </w:pPr>
          </w:p>
        </w:tc>
        <w:tc>
          <w:tcPr>
            <w:tcW w:w="681" w:type="dxa"/>
            <w:tcBorders>
              <w:left w:val="nil"/>
              <w:right w:val="nil"/>
            </w:tcBorders>
          </w:tcPr>
          <w:p w14:paraId="11EE7582" w14:textId="77777777" w:rsidR="005358D0" w:rsidRDefault="005358D0" w:rsidP="00D92DB8">
            <w:pPr>
              <w:contextualSpacing/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</w:tcBorders>
          </w:tcPr>
          <w:p w14:paraId="041EBC4B" w14:textId="31B2E035" w:rsidR="005358D0" w:rsidRDefault="005358D0" w:rsidP="005358D0">
            <w:pPr>
              <w:contextualSpacing/>
            </w:pPr>
            <w:r>
              <w:t>Witness qualification</w:t>
            </w:r>
          </w:p>
        </w:tc>
      </w:tr>
      <w:tr w:rsidR="005358D0" w14:paraId="2EBEF287" w14:textId="77777777" w:rsidTr="005358D0">
        <w:tc>
          <w:tcPr>
            <w:tcW w:w="3005" w:type="dxa"/>
            <w:tcBorders>
              <w:right w:val="nil"/>
            </w:tcBorders>
          </w:tcPr>
          <w:p w14:paraId="3F88C42F" w14:textId="77777777" w:rsidR="005358D0" w:rsidRDefault="005358D0" w:rsidP="00D92DB8">
            <w:pPr>
              <w:contextualSpacing/>
            </w:pPr>
          </w:p>
        </w:tc>
        <w:tc>
          <w:tcPr>
            <w:tcW w:w="681" w:type="dxa"/>
            <w:tcBorders>
              <w:left w:val="nil"/>
              <w:right w:val="nil"/>
            </w:tcBorders>
          </w:tcPr>
          <w:p w14:paraId="7CDB0474" w14:textId="77777777" w:rsidR="005358D0" w:rsidRDefault="005358D0" w:rsidP="00D92DB8">
            <w:pPr>
              <w:contextualSpacing/>
            </w:pPr>
          </w:p>
        </w:tc>
        <w:tc>
          <w:tcPr>
            <w:tcW w:w="6095" w:type="dxa"/>
            <w:tcBorders>
              <w:left w:val="nil"/>
            </w:tcBorders>
          </w:tcPr>
          <w:p w14:paraId="3D6423A9" w14:textId="77777777" w:rsidR="005358D0" w:rsidRDefault="005358D0" w:rsidP="00D92DB8">
            <w:pPr>
              <w:contextualSpacing/>
            </w:pPr>
          </w:p>
          <w:p w14:paraId="7946DDFC" w14:textId="5E4CA509" w:rsidR="005358D0" w:rsidRDefault="005358D0" w:rsidP="00D92DB8">
            <w:pPr>
              <w:contextualSpacing/>
            </w:pPr>
            <w:r>
              <w:t>A person authorised to take statutory declarations by the Oaths and Declarations Act 1957</w:t>
            </w:r>
          </w:p>
        </w:tc>
      </w:tr>
    </w:tbl>
    <w:p w14:paraId="281A11F8" w14:textId="77777777" w:rsidR="00D92DB8" w:rsidRPr="005358D0" w:rsidRDefault="00D92DB8" w:rsidP="005358D0">
      <w:pPr>
        <w:spacing w:after="0" w:line="240" w:lineRule="auto"/>
        <w:contextualSpacing/>
        <w:rPr>
          <w:sz w:val="2"/>
          <w:szCs w:val="2"/>
        </w:rPr>
      </w:pPr>
    </w:p>
    <w:sectPr w:rsidR="00D92DB8" w:rsidRPr="005358D0" w:rsidSect="005E11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62C75" w14:textId="77777777" w:rsidR="00373C1D" w:rsidRDefault="00373C1D" w:rsidP="00D92DB8">
      <w:pPr>
        <w:spacing w:after="0" w:line="240" w:lineRule="auto"/>
      </w:pPr>
      <w:r>
        <w:separator/>
      </w:r>
    </w:p>
  </w:endnote>
  <w:endnote w:type="continuationSeparator" w:id="0">
    <w:p w14:paraId="3EB8E879" w14:textId="77777777" w:rsidR="00373C1D" w:rsidRDefault="00373C1D" w:rsidP="00D92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B0AEE" w14:textId="77777777" w:rsidR="00D10882" w:rsidRDefault="00D108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3DBFF" w14:textId="77777777" w:rsidR="00D10882" w:rsidRDefault="00D108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E1835" w14:textId="77777777" w:rsidR="00D10882" w:rsidRDefault="00D108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396AF" w14:textId="77777777" w:rsidR="00373C1D" w:rsidRDefault="00373C1D" w:rsidP="00D92DB8">
      <w:pPr>
        <w:spacing w:after="0" w:line="240" w:lineRule="auto"/>
      </w:pPr>
      <w:r>
        <w:separator/>
      </w:r>
    </w:p>
  </w:footnote>
  <w:footnote w:type="continuationSeparator" w:id="0">
    <w:p w14:paraId="3FB29C52" w14:textId="77777777" w:rsidR="00373C1D" w:rsidRDefault="00373C1D" w:rsidP="00D92DB8">
      <w:pPr>
        <w:spacing w:after="0" w:line="240" w:lineRule="auto"/>
      </w:pPr>
      <w:r>
        <w:continuationSeparator/>
      </w:r>
    </w:p>
  </w:footnote>
  <w:footnote w:id="1">
    <w:p w14:paraId="2045BFC6" w14:textId="5CDA19B9" w:rsidR="005E1169" w:rsidRDefault="005E116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7378A">
        <w:t>‘Investor’ means r</w:t>
      </w:r>
      <w:r>
        <w:t>elevant overseas person (ROP) and all the individuals with control</w:t>
      </w:r>
      <w:r w:rsidR="0077378A">
        <w:t>,</w:t>
      </w:r>
      <w:r>
        <w:t xml:space="preserve"> if the ROP is not an individual. </w:t>
      </w:r>
      <w:r w:rsidR="0077378A">
        <w:t xml:space="preserve">It excludes persons who are not overseas persons. See </w:t>
      </w:r>
      <w:hyperlink r:id="rId1" w:history="1">
        <w:r w:rsidR="0077378A" w:rsidRPr="0077378A">
          <w:rPr>
            <w:rStyle w:val="Hyperlink"/>
          </w:rPr>
          <w:t>s18A</w:t>
        </w:r>
      </w:hyperlink>
      <w:r w:rsidR="0077378A">
        <w:t xml:space="preserve">, Overseas Investment Act 2005. </w:t>
      </w:r>
    </w:p>
  </w:footnote>
  <w:footnote w:id="2">
    <w:p w14:paraId="1FA84E94" w14:textId="7608AEF9" w:rsidR="00D92DB8" w:rsidRPr="005E1169" w:rsidRDefault="00D92DB8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Sections 9 and 11, Oaths and Declarations Act 1957. </w:t>
      </w:r>
      <w:bookmarkStart w:id="0" w:name="_Hlk88139394"/>
      <w:r w:rsidR="005E1169">
        <w:t xml:space="preserve">See also the </w:t>
      </w:r>
      <w:hyperlink r:id="rId2" w:history="1">
        <w:r w:rsidR="005E1169" w:rsidRPr="005E1169">
          <w:rPr>
            <w:rStyle w:val="Hyperlink"/>
          </w:rPr>
          <w:t>Minister of Justice guidance</w:t>
        </w:r>
      </w:hyperlink>
      <w:r w:rsidR="005E1169">
        <w:t xml:space="preserve"> </w:t>
      </w:r>
      <w:r w:rsidR="005E1169" w:rsidRPr="005E1169">
        <w:rPr>
          <w:lang w:val="en-GB"/>
        </w:rPr>
        <w:t xml:space="preserve">on how to administer remote statutory declarations under the </w:t>
      </w:r>
      <w:hyperlink r:id="rId3" w:history="1">
        <w:r w:rsidR="005E1169" w:rsidRPr="005E1169">
          <w:rPr>
            <w:rStyle w:val="Hyperlink"/>
            <w:lang w:val="en-GB"/>
          </w:rPr>
          <w:t>Epidemic Preparedness (Oaths and Declarations Act 1957) Immediate Modification Order 2020</w:t>
        </w:r>
      </w:hyperlink>
      <w:r w:rsidR="005E1169">
        <w:t xml:space="preserve">. 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03DAC" w14:textId="77777777" w:rsidR="00D10882" w:rsidRDefault="00D108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F333E" w14:textId="5AF2BCB7" w:rsidR="00D10882" w:rsidRDefault="00D108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6BAAE" w14:textId="77777777" w:rsidR="00D10882" w:rsidRDefault="00D108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6B9E"/>
    <w:multiLevelType w:val="hybridMultilevel"/>
    <w:tmpl w:val="BB043C2C"/>
    <w:lvl w:ilvl="0" w:tplc="FFFFFFFF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1645A6"/>
    <w:multiLevelType w:val="hybridMultilevel"/>
    <w:tmpl w:val="8D2688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576B0"/>
    <w:multiLevelType w:val="multilevel"/>
    <w:tmpl w:val="C780ED1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firstLine="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F5F99"/>
    <w:multiLevelType w:val="hybridMultilevel"/>
    <w:tmpl w:val="33DE22FE"/>
    <w:lvl w:ilvl="0" w:tplc="4836C24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47" w:hanging="360"/>
      </w:pPr>
    </w:lvl>
    <w:lvl w:ilvl="2" w:tplc="1409001B" w:tentative="1">
      <w:start w:val="1"/>
      <w:numFmt w:val="lowerRoman"/>
      <w:lvlText w:val="%3."/>
      <w:lvlJc w:val="right"/>
      <w:pPr>
        <w:ind w:left="2367" w:hanging="180"/>
      </w:pPr>
    </w:lvl>
    <w:lvl w:ilvl="3" w:tplc="1409000F" w:tentative="1">
      <w:start w:val="1"/>
      <w:numFmt w:val="decimal"/>
      <w:lvlText w:val="%4."/>
      <w:lvlJc w:val="left"/>
      <w:pPr>
        <w:ind w:left="3087" w:hanging="360"/>
      </w:pPr>
    </w:lvl>
    <w:lvl w:ilvl="4" w:tplc="14090019" w:tentative="1">
      <w:start w:val="1"/>
      <w:numFmt w:val="lowerLetter"/>
      <w:lvlText w:val="%5."/>
      <w:lvlJc w:val="left"/>
      <w:pPr>
        <w:ind w:left="3807" w:hanging="360"/>
      </w:pPr>
    </w:lvl>
    <w:lvl w:ilvl="5" w:tplc="1409001B" w:tentative="1">
      <w:start w:val="1"/>
      <w:numFmt w:val="lowerRoman"/>
      <w:lvlText w:val="%6."/>
      <w:lvlJc w:val="right"/>
      <w:pPr>
        <w:ind w:left="4527" w:hanging="180"/>
      </w:pPr>
    </w:lvl>
    <w:lvl w:ilvl="6" w:tplc="1409000F" w:tentative="1">
      <w:start w:val="1"/>
      <w:numFmt w:val="decimal"/>
      <w:lvlText w:val="%7."/>
      <w:lvlJc w:val="left"/>
      <w:pPr>
        <w:ind w:left="5247" w:hanging="360"/>
      </w:pPr>
    </w:lvl>
    <w:lvl w:ilvl="7" w:tplc="14090019" w:tentative="1">
      <w:start w:val="1"/>
      <w:numFmt w:val="lowerLetter"/>
      <w:lvlText w:val="%8."/>
      <w:lvlJc w:val="left"/>
      <w:pPr>
        <w:ind w:left="5967" w:hanging="360"/>
      </w:pPr>
    </w:lvl>
    <w:lvl w:ilvl="8" w:tplc="1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03B5727"/>
    <w:multiLevelType w:val="hybridMultilevel"/>
    <w:tmpl w:val="BB043C2C"/>
    <w:lvl w:ilvl="0" w:tplc="BC3E39E0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47" w:hanging="360"/>
      </w:pPr>
    </w:lvl>
    <w:lvl w:ilvl="2" w:tplc="1409001B" w:tentative="1">
      <w:start w:val="1"/>
      <w:numFmt w:val="lowerRoman"/>
      <w:lvlText w:val="%3."/>
      <w:lvlJc w:val="right"/>
      <w:pPr>
        <w:ind w:left="2367" w:hanging="180"/>
      </w:pPr>
    </w:lvl>
    <w:lvl w:ilvl="3" w:tplc="1409000F" w:tentative="1">
      <w:start w:val="1"/>
      <w:numFmt w:val="decimal"/>
      <w:lvlText w:val="%4."/>
      <w:lvlJc w:val="left"/>
      <w:pPr>
        <w:ind w:left="3087" w:hanging="360"/>
      </w:pPr>
    </w:lvl>
    <w:lvl w:ilvl="4" w:tplc="14090019" w:tentative="1">
      <w:start w:val="1"/>
      <w:numFmt w:val="lowerLetter"/>
      <w:lvlText w:val="%5."/>
      <w:lvlJc w:val="left"/>
      <w:pPr>
        <w:ind w:left="3807" w:hanging="360"/>
      </w:pPr>
    </w:lvl>
    <w:lvl w:ilvl="5" w:tplc="1409001B" w:tentative="1">
      <w:start w:val="1"/>
      <w:numFmt w:val="lowerRoman"/>
      <w:lvlText w:val="%6."/>
      <w:lvlJc w:val="right"/>
      <w:pPr>
        <w:ind w:left="4527" w:hanging="180"/>
      </w:pPr>
    </w:lvl>
    <w:lvl w:ilvl="6" w:tplc="1409000F" w:tentative="1">
      <w:start w:val="1"/>
      <w:numFmt w:val="decimal"/>
      <w:lvlText w:val="%7."/>
      <w:lvlJc w:val="left"/>
      <w:pPr>
        <w:ind w:left="5247" w:hanging="360"/>
      </w:pPr>
    </w:lvl>
    <w:lvl w:ilvl="7" w:tplc="14090019" w:tentative="1">
      <w:start w:val="1"/>
      <w:numFmt w:val="lowerLetter"/>
      <w:lvlText w:val="%8."/>
      <w:lvlJc w:val="left"/>
      <w:pPr>
        <w:ind w:left="5967" w:hanging="360"/>
      </w:pPr>
    </w:lvl>
    <w:lvl w:ilvl="8" w:tplc="1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0916556"/>
    <w:multiLevelType w:val="multilevel"/>
    <w:tmpl w:val="F356EAF8"/>
    <w:name w:val="CT Default23"/>
    <w:styleLink w:val="CTList"/>
    <w:lvl w:ilvl="0">
      <w:start w:val="1"/>
      <w:numFmt w:val="decimal"/>
      <w:lvlText w:val="%1"/>
      <w:lvlJc w:val="left"/>
      <w:pPr>
        <w:ind w:left="624" w:hanging="624"/>
      </w:pPr>
      <w:rPr>
        <w:rFonts w:ascii="Verdana" w:hAnsi="Verdana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ind w:left="1248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872" w:hanging="624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2496" w:hanging="624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3120" w:hanging="624"/>
      </w:pPr>
      <w:rPr>
        <w:rFonts w:hint="default"/>
      </w:rPr>
    </w:lvl>
    <w:lvl w:ilvl="5">
      <w:start w:val="1"/>
      <w:numFmt w:val="none"/>
      <w:lvlText w:val=""/>
      <w:lvlJc w:val="left"/>
      <w:pPr>
        <w:ind w:left="3744" w:hanging="624"/>
      </w:pPr>
      <w:rPr>
        <w:rFonts w:hint="default"/>
      </w:rPr>
    </w:lvl>
    <w:lvl w:ilvl="6">
      <w:start w:val="1"/>
      <w:numFmt w:val="none"/>
      <w:lvlText w:val=""/>
      <w:lvlJc w:val="left"/>
      <w:pPr>
        <w:ind w:left="4368" w:hanging="624"/>
      </w:pPr>
      <w:rPr>
        <w:rFonts w:hint="default"/>
      </w:rPr>
    </w:lvl>
    <w:lvl w:ilvl="7">
      <w:start w:val="1"/>
      <w:numFmt w:val="none"/>
      <w:lvlText w:val=""/>
      <w:lvlJc w:val="left"/>
      <w:pPr>
        <w:ind w:left="4992" w:hanging="624"/>
      </w:pPr>
      <w:rPr>
        <w:rFonts w:hint="default"/>
      </w:rPr>
    </w:lvl>
    <w:lvl w:ilvl="8">
      <w:start w:val="1"/>
      <w:numFmt w:val="none"/>
      <w:lvlText w:val=""/>
      <w:lvlJc w:val="left"/>
      <w:pPr>
        <w:ind w:left="5616" w:hanging="624"/>
      </w:pPr>
      <w:rPr>
        <w:rFonts w:hint="default"/>
      </w:rPr>
    </w:lvl>
  </w:abstractNum>
  <w:abstractNum w:abstractNumId="6" w15:restartNumberingAfterBreak="0">
    <w:nsid w:val="36CB5040"/>
    <w:multiLevelType w:val="multilevel"/>
    <w:tmpl w:val="A4BA2366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389C766F"/>
    <w:multiLevelType w:val="hybridMultilevel"/>
    <w:tmpl w:val="BFFA8684"/>
    <w:lvl w:ilvl="0" w:tplc="69F671DC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3C13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9272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223E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E1D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EAEC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805C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E2BC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0EE4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E2653B"/>
    <w:multiLevelType w:val="multilevel"/>
    <w:tmpl w:val="C8A03C6C"/>
    <w:lvl w:ilvl="0">
      <w:start w:val="5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40221A5C"/>
    <w:multiLevelType w:val="multilevel"/>
    <w:tmpl w:val="BE80CFC2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53B75656"/>
    <w:multiLevelType w:val="multilevel"/>
    <w:tmpl w:val="EF2C0FC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53FD595F"/>
    <w:multiLevelType w:val="hybridMultilevel"/>
    <w:tmpl w:val="3702B1A8"/>
    <w:lvl w:ilvl="0" w:tplc="2250A5E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47" w:hanging="360"/>
      </w:pPr>
    </w:lvl>
    <w:lvl w:ilvl="2" w:tplc="1409001B" w:tentative="1">
      <w:start w:val="1"/>
      <w:numFmt w:val="lowerRoman"/>
      <w:lvlText w:val="%3."/>
      <w:lvlJc w:val="right"/>
      <w:pPr>
        <w:ind w:left="2367" w:hanging="180"/>
      </w:pPr>
    </w:lvl>
    <w:lvl w:ilvl="3" w:tplc="1409000F" w:tentative="1">
      <w:start w:val="1"/>
      <w:numFmt w:val="decimal"/>
      <w:lvlText w:val="%4."/>
      <w:lvlJc w:val="left"/>
      <w:pPr>
        <w:ind w:left="3087" w:hanging="360"/>
      </w:pPr>
    </w:lvl>
    <w:lvl w:ilvl="4" w:tplc="14090019" w:tentative="1">
      <w:start w:val="1"/>
      <w:numFmt w:val="lowerLetter"/>
      <w:lvlText w:val="%5."/>
      <w:lvlJc w:val="left"/>
      <w:pPr>
        <w:ind w:left="3807" w:hanging="360"/>
      </w:pPr>
    </w:lvl>
    <w:lvl w:ilvl="5" w:tplc="1409001B" w:tentative="1">
      <w:start w:val="1"/>
      <w:numFmt w:val="lowerRoman"/>
      <w:lvlText w:val="%6."/>
      <w:lvlJc w:val="right"/>
      <w:pPr>
        <w:ind w:left="4527" w:hanging="180"/>
      </w:pPr>
    </w:lvl>
    <w:lvl w:ilvl="6" w:tplc="1409000F" w:tentative="1">
      <w:start w:val="1"/>
      <w:numFmt w:val="decimal"/>
      <w:lvlText w:val="%7."/>
      <w:lvlJc w:val="left"/>
      <w:pPr>
        <w:ind w:left="5247" w:hanging="360"/>
      </w:pPr>
    </w:lvl>
    <w:lvl w:ilvl="7" w:tplc="14090019" w:tentative="1">
      <w:start w:val="1"/>
      <w:numFmt w:val="lowerLetter"/>
      <w:lvlText w:val="%8."/>
      <w:lvlJc w:val="left"/>
      <w:pPr>
        <w:ind w:left="5967" w:hanging="360"/>
      </w:pPr>
    </w:lvl>
    <w:lvl w:ilvl="8" w:tplc="1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A954695"/>
    <w:multiLevelType w:val="multilevel"/>
    <w:tmpl w:val="C780ED1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firstLine="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D02D2C"/>
    <w:multiLevelType w:val="hybridMultilevel"/>
    <w:tmpl w:val="2C10D0BA"/>
    <w:lvl w:ilvl="0" w:tplc="20E8E936">
      <w:start w:val="1"/>
      <w:numFmt w:val="lowerLetter"/>
      <w:lvlText w:val="%1."/>
      <w:lvlJc w:val="left"/>
      <w:pPr>
        <w:ind w:left="984" w:hanging="360"/>
      </w:pPr>
      <w:rPr>
        <w:rFonts w:hint="default"/>
        <w:sz w:val="19"/>
        <w:szCs w:val="19"/>
      </w:rPr>
    </w:lvl>
    <w:lvl w:ilvl="1" w:tplc="14090019" w:tentative="1">
      <w:start w:val="1"/>
      <w:numFmt w:val="lowerLetter"/>
      <w:lvlText w:val="%2."/>
      <w:lvlJc w:val="left"/>
      <w:pPr>
        <w:ind w:left="1704" w:hanging="360"/>
      </w:pPr>
    </w:lvl>
    <w:lvl w:ilvl="2" w:tplc="1409001B" w:tentative="1">
      <w:start w:val="1"/>
      <w:numFmt w:val="lowerRoman"/>
      <w:lvlText w:val="%3."/>
      <w:lvlJc w:val="right"/>
      <w:pPr>
        <w:ind w:left="2424" w:hanging="180"/>
      </w:pPr>
    </w:lvl>
    <w:lvl w:ilvl="3" w:tplc="1409000F" w:tentative="1">
      <w:start w:val="1"/>
      <w:numFmt w:val="decimal"/>
      <w:lvlText w:val="%4."/>
      <w:lvlJc w:val="left"/>
      <w:pPr>
        <w:ind w:left="3144" w:hanging="360"/>
      </w:pPr>
    </w:lvl>
    <w:lvl w:ilvl="4" w:tplc="14090019" w:tentative="1">
      <w:start w:val="1"/>
      <w:numFmt w:val="lowerLetter"/>
      <w:lvlText w:val="%5."/>
      <w:lvlJc w:val="left"/>
      <w:pPr>
        <w:ind w:left="3864" w:hanging="360"/>
      </w:pPr>
    </w:lvl>
    <w:lvl w:ilvl="5" w:tplc="1409001B" w:tentative="1">
      <w:start w:val="1"/>
      <w:numFmt w:val="lowerRoman"/>
      <w:lvlText w:val="%6."/>
      <w:lvlJc w:val="right"/>
      <w:pPr>
        <w:ind w:left="4584" w:hanging="180"/>
      </w:pPr>
    </w:lvl>
    <w:lvl w:ilvl="6" w:tplc="1409000F" w:tentative="1">
      <w:start w:val="1"/>
      <w:numFmt w:val="decimal"/>
      <w:lvlText w:val="%7."/>
      <w:lvlJc w:val="left"/>
      <w:pPr>
        <w:ind w:left="5304" w:hanging="360"/>
      </w:pPr>
    </w:lvl>
    <w:lvl w:ilvl="7" w:tplc="14090019" w:tentative="1">
      <w:start w:val="1"/>
      <w:numFmt w:val="lowerLetter"/>
      <w:lvlText w:val="%8."/>
      <w:lvlJc w:val="left"/>
      <w:pPr>
        <w:ind w:left="6024" w:hanging="360"/>
      </w:pPr>
    </w:lvl>
    <w:lvl w:ilvl="8" w:tplc="1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4" w15:restartNumberingAfterBreak="0">
    <w:nsid w:val="62132D5C"/>
    <w:multiLevelType w:val="multilevel"/>
    <w:tmpl w:val="C780ED1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firstLine="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4707DF"/>
    <w:multiLevelType w:val="hybridMultilevel"/>
    <w:tmpl w:val="503695AC"/>
    <w:lvl w:ilvl="0" w:tplc="BC3E39E0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47" w:hanging="360"/>
      </w:pPr>
    </w:lvl>
    <w:lvl w:ilvl="2" w:tplc="1409001B" w:tentative="1">
      <w:start w:val="1"/>
      <w:numFmt w:val="lowerRoman"/>
      <w:lvlText w:val="%3."/>
      <w:lvlJc w:val="right"/>
      <w:pPr>
        <w:ind w:left="2367" w:hanging="180"/>
      </w:pPr>
    </w:lvl>
    <w:lvl w:ilvl="3" w:tplc="1409000F" w:tentative="1">
      <w:start w:val="1"/>
      <w:numFmt w:val="decimal"/>
      <w:lvlText w:val="%4."/>
      <w:lvlJc w:val="left"/>
      <w:pPr>
        <w:ind w:left="3087" w:hanging="360"/>
      </w:pPr>
    </w:lvl>
    <w:lvl w:ilvl="4" w:tplc="14090019" w:tentative="1">
      <w:start w:val="1"/>
      <w:numFmt w:val="lowerLetter"/>
      <w:lvlText w:val="%5."/>
      <w:lvlJc w:val="left"/>
      <w:pPr>
        <w:ind w:left="3807" w:hanging="360"/>
      </w:pPr>
    </w:lvl>
    <w:lvl w:ilvl="5" w:tplc="1409001B" w:tentative="1">
      <w:start w:val="1"/>
      <w:numFmt w:val="lowerRoman"/>
      <w:lvlText w:val="%6."/>
      <w:lvlJc w:val="right"/>
      <w:pPr>
        <w:ind w:left="4527" w:hanging="180"/>
      </w:pPr>
    </w:lvl>
    <w:lvl w:ilvl="6" w:tplc="1409000F" w:tentative="1">
      <w:start w:val="1"/>
      <w:numFmt w:val="decimal"/>
      <w:lvlText w:val="%7."/>
      <w:lvlJc w:val="left"/>
      <w:pPr>
        <w:ind w:left="5247" w:hanging="360"/>
      </w:pPr>
    </w:lvl>
    <w:lvl w:ilvl="7" w:tplc="14090019" w:tentative="1">
      <w:start w:val="1"/>
      <w:numFmt w:val="lowerLetter"/>
      <w:lvlText w:val="%8."/>
      <w:lvlJc w:val="left"/>
      <w:pPr>
        <w:ind w:left="5967" w:hanging="360"/>
      </w:pPr>
    </w:lvl>
    <w:lvl w:ilvl="8" w:tplc="1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7C6757F"/>
    <w:multiLevelType w:val="multilevel"/>
    <w:tmpl w:val="C780ED1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firstLine="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004D10"/>
    <w:multiLevelType w:val="hybridMultilevel"/>
    <w:tmpl w:val="4F920DB2"/>
    <w:lvl w:ilvl="0" w:tplc="D6F64298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50E3D"/>
    <w:multiLevelType w:val="multilevel"/>
    <w:tmpl w:val="EF4E45AA"/>
    <w:lvl w:ilvl="0">
      <w:start w:val="5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75BE45A2"/>
    <w:multiLevelType w:val="hybridMultilevel"/>
    <w:tmpl w:val="88E404C0"/>
    <w:lvl w:ilvl="0" w:tplc="EBCC819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47" w:hanging="360"/>
      </w:pPr>
    </w:lvl>
    <w:lvl w:ilvl="2" w:tplc="1409001B" w:tentative="1">
      <w:start w:val="1"/>
      <w:numFmt w:val="lowerRoman"/>
      <w:lvlText w:val="%3."/>
      <w:lvlJc w:val="right"/>
      <w:pPr>
        <w:ind w:left="2367" w:hanging="180"/>
      </w:pPr>
    </w:lvl>
    <w:lvl w:ilvl="3" w:tplc="1409000F" w:tentative="1">
      <w:start w:val="1"/>
      <w:numFmt w:val="decimal"/>
      <w:lvlText w:val="%4."/>
      <w:lvlJc w:val="left"/>
      <w:pPr>
        <w:ind w:left="3087" w:hanging="360"/>
      </w:pPr>
    </w:lvl>
    <w:lvl w:ilvl="4" w:tplc="14090019" w:tentative="1">
      <w:start w:val="1"/>
      <w:numFmt w:val="lowerLetter"/>
      <w:lvlText w:val="%5."/>
      <w:lvlJc w:val="left"/>
      <w:pPr>
        <w:ind w:left="3807" w:hanging="360"/>
      </w:pPr>
    </w:lvl>
    <w:lvl w:ilvl="5" w:tplc="1409001B" w:tentative="1">
      <w:start w:val="1"/>
      <w:numFmt w:val="lowerRoman"/>
      <w:lvlText w:val="%6."/>
      <w:lvlJc w:val="right"/>
      <w:pPr>
        <w:ind w:left="4527" w:hanging="180"/>
      </w:pPr>
    </w:lvl>
    <w:lvl w:ilvl="6" w:tplc="1409000F" w:tentative="1">
      <w:start w:val="1"/>
      <w:numFmt w:val="decimal"/>
      <w:lvlText w:val="%7."/>
      <w:lvlJc w:val="left"/>
      <w:pPr>
        <w:ind w:left="5247" w:hanging="360"/>
      </w:pPr>
    </w:lvl>
    <w:lvl w:ilvl="7" w:tplc="14090019" w:tentative="1">
      <w:start w:val="1"/>
      <w:numFmt w:val="lowerLetter"/>
      <w:lvlText w:val="%8."/>
      <w:lvlJc w:val="left"/>
      <w:pPr>
        <w:ind w:left="5967" w:hanging="360"/>
      </w:pPr>
    </w:lvl>
    <w:lvl w:ilvl="8" w:tplc="1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72506B3"/>
    <w:multiLevelType w:val="multilevel"/>
    <w:tmpl w:val="8730A612"/>
    <w:lvl w:ilvl="0">
      <w:start w:val="5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7B843F34"/>
    <w:multiLevelType w:val="hybridMultilevel"/>
    <w:tmpl w:val="950092A8"/>
    <w:lvl w:ilvl="0" w:tplc="BC3E39E0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47" w:hanging="360"/>
      </w:pPr>
    </w:lvl>
    <w:lvl w:ilvl="2" w:tplc="1409001B" w:tentative="1">
      <w:start w:val="1"/>
      <w:numFmt w:val="lowerRoman"/>
      <w:lvlText w:val="%3."/>
      <w:lvlJc w:val="right"/>
      <w:pPr>
        <w:ind w:left="2367" w:hanging="180"/>
      </w:pPr>
    </w:lvl>
    <w:lvl w:ilvl="3" w:tplc="1409000F" w:tentative="1">
      <w:start w:val="1"/>
      <w:numFmt w:val="decimal"/>
      <w:lvlText w:val="%4."/>
      <w:lvlJc w:val="left"/>
      <w:pPr>
        <w:ind w:left="3087" w:hanging="360"/>
      </w:pPr>
    </w:lvl>
    <w:lvl w:ilvl="4" w:tplc="14090019" w:tentative="1">
      <w:start w:val="1"/>
      <w:numFmt w:val="lowerLetter"/>
      <w:lvlText w:val="%5."/>
      <w:lvlJc w:val="left"/>
      <w:pPr>
        <w:ind w:left="3807" w:hanging="360"/>
      </w:pPr>
    </w:lvl>
    <w:lvl w:ilvl="5" w:tplc="1409001B" w:tentative="1">
      <w:start w:val="1"/>
      <w:numFmt w:val="lowerRoman"/>
      <w:lvlText w:val="%6."/>
      <w:lvlJc w:val="right"/>
      <w:pPr>
        <w:ind w:left="4527" w:hanging="180"/>
      </w:pPr>
    </w:lvl>
    <w:lvl w:ilvl="6" w:tplc="1409000F" w:tentative="1">
      <w:start w:val="1"/>
      <w:numFmt w:val="decimal"/>
      <w:lvlText w:val="%7."/>
      <w:lvlJc w:val="left"/>
      <w:pPr>
        <w:ind w:left="5247" w:hanging="360"/>
      </w:pPr>
    </w:lvl>
    <w:lvl w:ilvl="7" w:tplc="14090019" w:tentative="1">
      <w:start w:val="1"/>
      <w:numFmt w:val="lowerLetter"/>
      <w:lvlText w:val="%8."/>
      <w:lvlJc w:val="left"/>
      <w:pPr>
        <w:ind w:left="5967" w:hanging="360"/>
      </w:pPr>
    </w:lvl>
    <w:lvl w:ilvl="8" w:tplc="1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7"/>
  </w:num>
  <w:num w:numId="4">
    <w:abstractNumId w:val="4"/>
  </w:num>
  <w:num w:numId="5">
    <w:abstractNumId w:val="0"/>
  </w:num>
  <w:num w:numId="6">
    <w:abstractNumId w:val="15"/>
  </w:num>
  <w:num w:numId="7">
    <w:abstractNumId w:val="12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21"/>
  </w:num>
  <w:num w:numId="11">
    <w:abstractNumId w:val="5"/>
    <w:lvlOverride w:ilvl="0">
      <w:lvl w:ilvl="0">
        <w:start w:val="1"/>
        <w:numFmt w:val="decimal"/>
        <w:lvlText w:val="%1"/>
        <w:lvlJc w:val="left"/>
        <w:pPr>
          <w:ind w:left="624" w:hanging="624"/>
        </w:pPr>
        <w:rPr>
          <w:rFonts w:asciiTheme="minorHAnsi" w:hAnsiTheme="minorHAnsi" w:cstheme="minorHAnsi" w:hint="default"/>
          <w:b w:val="0"/>
          <w:bCs w:val="0"/>
          <w:i w:val="0"/>
          <w:color w:val="auto"/>
          <w:sz w:val="19"/>
          <w:szCs w:val="19"/>
        </w:rPr>
      </w:lvl>
    </w:lvlOverride>
  </w:num>
  <w:num w:numId="12">
    <w:abstractNumId w:val="5"/>
  </w:num>
  <w:num w:numId="13">
    <w:abstractNumId w:val="20"/>
  </w:num>
  <w:num w:numId="14">
    <w:abstractNumId w:val="10"/>
  </w:num>
  <w:num w:numId="15">
    <w:abstractNumId w:val="13"/>
  </w:num>
  <w:num w:numId="16">
    <w:abstractNumId w:val="19"/>
  </w:num>
  <w:num w:numId="17">
    <w:abstractNumId w:val="17"/>
  </w:num>
  <w:num w:numId="18">
    <w:abstractNumId w:val="6"/>
  </w:num>
  <w:num w:numId="19">
    <w:abstractNumId w:val="9"/>
  </w:num>
  <w:num w:numId="20">
    <w:abstractNumId w:val="11"/>
  </w:num>
  <w:num w:numId="21">
    <w:abstractNumId w:val="3"/>
  </w:num>
  <w:num w:numId="22">
    <w:abstractNumId w:val="18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3F8"/>
    <w:rsid w:val="00014127"/>
    <w:rsid w:val="00033CE0"/>
    <w:rsid w:val="00060D81"/>
    <w:rsid w:val="00075035"/>
    <w:rsid w:val="0010406C"/>
    <w:rsid w:val="00144561"/>
    <w:rsid w:val="001656E2"/>
    <w:rsid w:val="001F322C"/>
    <w:rsid w:val="00230756"/>
    <w:rsid w:val="00240C66"/>
    <w:rsid w:val="002753F8"/>
    <w:rsid w:val="002F0070"/>
    <w:rsid w:val="00300B54"/>
    <w:rsid w:val="00317016"/>
    <w:rsid w:val="003467A2"/>
    <w:rsid w:val="00361977"/>
    <w:rsid w:val="00373C1D"/>
    <w:rsid w:val="003B52FF"/>
    <w:rsid w:val="004047C7"/>
    <w:rsid w:val="004258B2"/>
    <w:rsid w:val="004D735F"/>
    <w:rsid w:val="005358D0"/>
    <w:rsid w:val="005427E6"/>
    <w:rsid w:val="005E06BA"/>
    <w:rsid w:val="005E1169"/>
    <w:rsid w:val="00676603"/>
    <w:rsid w:val="006D449F"/>
    <w:rsid w:val="0077378A"/>
    <w:rsid w:val="007E730B"/>
    <w:rsid w:val="00811268"/>
    <w:rsid w:val="00823FD8"/>
    <w:rsid w:val="00876E43"/>
    <w:rsid w:val="008A70F2"/>
    <w:rsid w:val="00940C02"/>
    <w:rsid w:val="009F0B07"/>
    <w:rsid w:val="00A007A3"/>
    <w:rsid w:val="00A05221"/>
    <w:rsid w:val="00A11357"/>
    <w:rsid w:val="00AC76FA"/>
    <w:rsid w:val="00B06FBC"/>
    <w:rsid w:val="00B82360"/>
    <w:rsid w:val="00BE6AB3"/>
    <w:rsid w:val="00C02B50"/>
    <w:rsid w:val="00C4765B"/>
    <w:rsid w:val="00CA7222"/>
    <w:rsid w:val="00CB1003"/>
    <w:rsid w:val="00CD7B09"/>
    <w:rsid w:val="00D05228"/>
    <w:rsid w:val="00D10882"/>
    <w:rsid w:val="00D86F40"/>
    <w:rsid w:val="00D92DB8"/>
    <w:rsid w:val="00DF4045"/>
    <w:rsid w:val="00E44F18"/>
    <w:rsid w:val="00E477FF"/>
    <w:rsid w:val="00E73A99"/>
    <w:rsid w:val="00ED502C"/>
    <w:rsid w:val="00F6322B"/>
    <w:rsid w:val="00F8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9B53EF"/>
  <w15:chartTrackingRefBased/>
  <w15:docId w15:val="{A8AD33FC-93B9-488B-AC2C-C0648185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75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  <w:lang w:eastAsia="en-NZ"/>
    </w:rPr>
  </w:style>
  <w:style w:type="table" w:styleId="TableGrid">
    <w:name w:val="Table Grid"/>
    <w:basedOn w:val="TableNormal"/>
    <w:uiPriority w:val="39"/>
    <w:rsid w:val="00D92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2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DB8"/>
  </w:style>
  <w:style w:type="character" w:styleId="Hyperlink">
    <w:name w:val="Hyperlink"/>
    <w:basedOn w:val="DefaultParagraphFont"/>
    <w:uiPriority w:val="99"/>
    <w:unhideWhenUsed/>
    <w:rsid w:val="00D92D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2DB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2DB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2DB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2DB8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D108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882"/>
  </w:style>
  <w:style w:type="character" w:styleId="FollowedHyperlink">
    <w:name w:val="FollowedHyperlink"/>
    <w:basedOn w:val="DefaultParagraphFont"/>
    <w:uiPriority w:val="99"/>
    <w:semiHidden/>
    <w:unhideWhenUsed/>
    <w:rsid w:val="005E1169"/>
    <w:rPr>
      <w:color w:val="954F72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4258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258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8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8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8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8B2"/>
    <w:rPr>
      <w:b/>
      <w:bCs/>
      <w:sz w:val="20"/>
      <w:szCs w:val="20"/>
    </w:rPr>
  </w:style>
  <w:style w:type="numbering" w:customStyle="1" w:styleId="CTList">
    <w:name w:val="CTList"/>
    <w:basedOn w:val="NoList"/>
    <w:uiPriority w:val="99"/>
    <w:rsid w:val="00876E43"/>
    <w:pPr>
      <w:numPr>
        <w:numId w:val="12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76E43"/>
  </w:style>
  <w:style w:type="paragraph" w:styleId="Revision">
    <w:name w:val="Revision"/>
    <w:hidden/>
    <w:uiPriority w:val="99"/>
    <w:semiHidden/>
    <w:rsid w:val="003170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1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customXml" Target="/customXML/item3.xml" Id="R7393b2b8fdf943f1" 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egislation.govt.nz/regulation/public/2020/0063/latest/LMS337268.html?search=ts_act%40bill%40regulation%40deemedreg_epidemic_resel_25_a&amp;p=1" TargetMode="External"/><Relationship Id="rId2" Type="http://schemas.openxmlformats.org/officeDocument/2006/relationships/hyperlink" Target="https://www.justice.govt.nz/about/news-and-media/covid-19-news/oaths-affirmations-or-declarations" TargetMode="External"/><Relationship Id="rId1" Type="http://schemas.openxmlformats.org/officeDocument/2006/relationships/hyperlink" Target="https://www.legislation.govt.nz/act/public/2005/0082/latest/LMS468073.html?search=sw_096be8ed81af7c04_%22standing+consent%22_25_se&amp;p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B2582851737C4640BA36565D556ECEA8" version="1.0.0">
  <systemFields>
    <field name="Objective-Id">
      <value order="0">A4732726</value>
    </field>
    <field name="Objective-Title">
      <value order="0">2021-11-23  Statutory Declaration - Investor Test</value>
    </field>
    <field name="Objective-Description">
      <value order="0"/>
    </field>
    <field name="Objective-CreationStamp">
      <value order="0">2021-11-24T01:05:12Z</value>
    </field>
    <field name="Objective-IsApproved">
      <value order="0">false</value>
    </field>
    <field name="Objective-IsPublished">
      <value order="0">true</value>
    </field>
    <field name="Objective-DatePublished">
      <value order="0">2021-11-25T21:58:01Z</value>
    </field>
    <field name="Objective-ModificationStamp">
      <value order="0">2021-11-25T21:58:01Z</value>
    </field>
    <field name="Objective-Owner">
      <value order="0">Llinos Williams</value>
    </field>
    <field name="Objective-Path">
      <value order="0">LinZone Global Folder:LinZone File Plan:Overseas Investment Office:Secretariat:OIO - Administration:PROJECTS:202100096 - OIO Reform Programme:07. Operations:7.07 Assessment Timeframes:Process improvements</value>
    </field>
    <field name="Objective-Parent">
      <value order="0">Process improvements</value>
    </field>
    <field name="Objective-State">
      <value order="0">Published</value>
    </field>
    <field name="Objective-VersionId">
      <value order="0">vA7563583</value>
    </field>
    <field name="Objective-Version">
      <value order="0">10.0</value>
    </field>
    <field name="Objective-VersionNumber">
      <value order="0">11</value>
    </field>
    <field name="Objective-VersionComment">
      <value order="0"/>
    </field>
    <field name="Objective-FileNumber">
      <value order="0">OIO-S15-07-16/740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9">
      <field name="Objective-Copy To Clipboard">
        <value order="0">Copy To Clipboard</value>
      </field>
      <field name="Objective-Create Hyperlink">
        <value order="0">Create Hyperlink</value>
      </field>
      <field name="Objective-Connect Creator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B2582851737C4640BA36565D556ECEA8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5500CA76-4D87-434A-BA3D-998BE63E4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Atienza</dc:creator>
  <cp:keywords/>
  <dc:description/>
  <cp:lastModifiedBy>Gail MacKenzie</cp:lastModifiedBy>
  <cp:revision>37</cp:revision>
  <dcterms:created xsi:type="dcterms:W3CDTF">2021-11-18T05:05:00Z</dcterms:created>
  <dcterms:modified xsi:type="dcterms:W3CDTF">2021-11-25T21:57:00Z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A4732726</vt:lpwstr>
  </property>
  <property fmtid="{D5CDD505-2E9C-101B-9397-08002B2CF9AE}" pid="4" name="Objective-Title">
    <vt:lpwstr>2021-11-23  Statutory Declaration - Investor Test</vt:lpwstr>
  </property>
  <property fmtid="{D5CDD505-2E9C-101B-9397-08002B2CF9AE}" pid="5" name="Objective-Description">
    <vt:lpwstr/>
  </property>
  <property fmtid="{D5CDD505-2E9C-101B-9397-08002B2CF9AE}" pid="6" name="Objective-CreationStamp">
    <vt:filetime>2021-11-24T01:05:12Z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2021-11-25T21:58:01Z</vt:filetime>
  </property>
  <property fmtid="{D5CDD505-2E9C-101B-9397-08002B2CF9AE}" pid="10" name="Objective-ModificationStamp">
    <vt:filetime>2021-11-25T21:58:01Z</vt:filetime>
  </property>
  <property fmtid="{D5CDD505-2E9C-101B-9397-08002B2CF9AE}" pid="11" name="Objective-Owner">
    <vt:lpwstr>Llinos Williams</vt:lpwstr>
  </property>
  <property fmtid="{D5CDD505-2E9C-101B-9397-08002B2CF9AE}" pid="12" name="Objective-Path">
    <vt:lpwstr>LinZone Global Folder:LinZone File Plan:Overseas Investment Office:Secretariat:OIO - Administration:PROJECTS:202100096 - OIO Reform Programme:07. Operations:7.07 Assessment Timeframes:Process improvements</vt:lpwstr>
  </property>
  <property fmtid="{D5CDD505-2E9C-101B-9397-08002B2CF9AE}" pid="13" name="Objective-Parent">
    <vt:lpwstr>Process improvements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vA7563583</vt:lpwstr>
  </property>
  <property fmtid="{D5CDD505-2E9C-101B-9397-08002B2CF9AE}" pid="16" name="Objective-Version">
    <vt:lpwstr>10.0</vt:lpwstr>
  </property>
  <property fmtid="{D5CDD505-2E9C-101B-9397-08002B2CF9AE}" pid="17" name="Objective-VersionNumber">
    <vt:r8>11</vt:r8>
  </property>
  <property fmtid="{D5CDD505-2E9C-101B-9397-08002B2CF9AE}" pid="18" name="Objective-VersionComment">
    <vt:lpwstr/>
  </property>
  <property fmtid="{D5CDD505-2E9C-101B-9397-08002B2CF9AE}" pid="19" name="Objective-FileNumber">
    <vt:lpwstr>OIO-S15-07-16/740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py To Clipboard">
    <vt:lpwstr>Copy To Clipboard</vt:lpwstr>
  </property>
  <property fmtid="{D5CDD505-2E9C-101B-9397-08002B2CF9AE}" pid="23" name="Objective-Create Hyperlink">
    <vt:lpwstr>Create Hyperlink</vt:lpwstr>
  </property>
  <property fmtid="{D5CDD505-2E9C-101B-9397-08002B2CF9AE}" pid="24" name="Objective-Connect Creator">
    <vt:lpwstr/>
  </property>
</Properties>
</file>