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C78B" w14:textId="77777777" w:rsidR="00EE7C1D" w:rsidRDefault="00EE7C1D" w:rsidP="00271BF5"/>
    <w:p w14:paraId="5ED2740F" w14:textId="54819AC4" w:rsidR="00EE7C1D" w:rsidRDefault="0094672B" w:rsidP="00CD54C4">
      <w:pPr>
        <w:jc w:val="center"/>
      </w:pPr>
      <w:r>
        <w:rPr>
          <w:rFonts w:ascii="Verdana" w:hAnsi="Verdana" w:cs="Arial"/>
          <w:b/>
          <w:sz w:val="28"/>
          <w:szCs w:val="28"/>
        </w:rPr>
        <w:t xml:space="preserve">SIMPLE BOUNDARY REINSTATEMENT </w:t>
      </w:r>
      <w:r w:rsidR="00EE7C1D" w:rsidRPr="00D129DC">
        <w:rPr>
          <w:rFonts w:ascii="Verdana" w:hAnsi="Verdana" w:cs="Arial"/>
          <w:b/>
          <w:sz w:val="28"/>
          <w:szCs w:val="28"/>
        </w:rPr>
        <w:t>SURVEY REPORT TEMPLATE</w:t>
      </w:r>
      <w:r w:rsidR="00EE7C1D">
        <w:rPr>
          <w:rFonts w:ascii="Verdana" w:hAnsi="Verdana" w:cs="Arial"/>
          <w:b/>
          <w:sz w:val="28"/>
          <w:szCs w:val="28"/>
        </w:rPr>
        <w:t xml:space="preserve"> (</w:t>
      </w:r>
      <w:r w:rsidR="008B612A" w:rsidRPr="008B612A">
        <w:rPr>
          <w:rFonts w:ascii="Verdana" w:hAnsi="Verdana" w:cs="Arial"/>
          <w:b/>
          <w:color w:val="000000" w:themeColor="text1"/>
          <w:sz w:val="28"/>
          <w:szCs w:val="28"/>
        </w:rPr>
        <w:t>v</w:t>
      </w:r>
      <w:r w:rsidR="00563844">
        <w:rPr>
          <w:rFonts w:ascii="Verdana" w:hAnsi="Verdana" w:cs="Arial"/>
          <w:b/>
          <w:color w:val="000000" w:themeColor="text1"/>
          <w:sz w:val="28"/>
          <w:szCs w:val="28"/>
        </w:rPr>
        <w:t>1</w:t>
      </w:r>
      <w:r w:rsidR="008B612A" w:rsidRPr="008B612A">
        <w:rPr>
          <w:rFonts w:ascii="Verdana" w:hAnsi="Verdana" w:cs="Arial"/>
          <w:b/>
          <w:color w:val="000000" w:themeColor="text1"/>
          <w:sz w:val="28"/>
          <w:szCs w:val="28"/>
        </w:rPr>
        <w:t xml:space="preserve"> – </w:t>
      </w:r>
      <w:r w:rsidR="005E262F">
        <w:rPr>
          <w:rFonts w:ascii="Verdana" w:hAnsi="Verdana" w:cs="Arial"/>
          <w:b/>
          <w:color w:val="000000" w:themeColor="text1"/>
          <w:sz w:val="28"/>
          <w:szCs w:val="28"/>
        </w:rPr>
        <w:t>May</w:t>
      </w:r>
      <w:r w:rsidR="008B612A" w:rsidRPr="008B612A">
        <w:rPr>
          <w:rFonts w:ascii="Verdana" w:hAnsi="Verdana" w:cs="Arial"/>
          <w:b/>
          <w:color w:val="000000" w:themeColor="text1"/>
          <w:sz w:val="28"/>
          <w:szCs w:val="28"/>
        </w:rPr>
        <w:t xml:space="preserve"> 20</w:t>
      </w:r>
      <w:r w:rsidR="00563844">
        <w:rPr>
          <w:rFonts w:ascii="Verdana" w:hAnsi="Verdana" w:cs="Arial"/>
          <w:b/>
          <w:color w:val="000000" w:themeColor="text1"/>
          <w:sz w:val="28"/>
          <w:szCs w:val="28"/>
        </w:rPr>
        <w:t>21</w:t>
      </w:r>
      <w:r w:rsidR="00EE7C1D">
        <w:rPr>
          <w:rFonts w:ascii="Verdana" w:hAnsi="Verdana" w:cs="Arial"/>
          <w:b/>
          <w:sz w:val="28"/>
          <w:szCs w:val="28"/>
        </w:rPr>
        <w:t>)</w:t>
      </w:r>
    </w:p>
    <w:tbl>
      <w:tblPr>
        <w:tblW w:w="1020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494"/>
        <w:gridCol w:w="827"/>
        <w:gridCol w:w="6162"/>
      </w:tblGrid>
      <w:tr w:rsidR="00EE7C1D" w:rsidRPr="00D129DC" w14:paraId="0C2271F2" w14:textId="77777777">
        <w:tc>
          <w:tcPr>
            <w:tcW w:w="10200" w:type="dxa"/>
            <w:gridSpan w:val="4"/>
            <w:tcBorders>
              <w:top w:val="nil"/>
              <w:left w:val="nil"/>
              <w:right w:val="nil"/>
            </w:tcBorders>
          </w:tcPr>
          <w:p w14:paraId="4ABB3D10" w14:textId="77777777" w:rsidR="00EE7C1D" w:rsidRPr="00122BF3" w:rsidRDefault="00EE7C1D" w:rsidP="002B4BC6">
            <w:pPr>
              <w:numPr>
                <w:ilvl w:val="1"/>
                <w:numId w:val="14"/>
              </w:numPr>
              <w:spacing w:after="60"/>
              <w:ind w:hanging="357"/>
              <w:rPr>
                <w:rFonts w:ascii="Verdana" w:hAnsi="Verdana" w:cs="Arial"/>
                <w:i/>
                <w:sz w:val="16"/>
                <w:szCs w:val="16"/>
                <w:lang w:val="en-NZ"/>
              </w:rPr>
            </w:pPr>
          </w:p>
        </w:tc>
      </w:tr>
      <w:tr w:rsidR="00EE7C1D" w:rsidRPr="00D129DC" w14:paraId="781BE401" w14:textId="77777777" w:rsidTr="00543D47">
        <w:tc>
          <w:tcPr>
            <w:tcW w:w="4038" w:type="dxa"/>
            <w:gridSpan w:val="3"/>
          </w:tcPr>
          <w:p w14:paraId="207A104E" w14:textId="77777777" w:rsidR="00EE7C1D" w:rsidRDefault="00EE7C1D" w:rsidP="00A73A7A">
            <w:pPr>
              <w:spacing w:before="120" w:after="120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bookmarkStart w:id="0" w:name="_Hlk85358183"/>
            <w:r w:rsidRPr="00D129DC">
              <w:rPr>
                <w:rFonts w:ascii="Verdana" w:hAnsi="Verdana" w:cs="Arial"/>
                <w:b/>
                <w:sz w:val="24"/>
                <w:szCs w:val="24"/>
              </w:rPr>
              <w:t>REPORT HEADING</w:t>
            </w:r>
          </w:p>
          <w:p w14:paraId="05D04D71" w14:textId="095FC842" w:rsidR="00EE7C1D" w:rsidRPr="00D129DC" w:rsidRDefault="00EE7C1D" w:rsidP="00A73A7A">
            <w:pPr>
              <w:spacing w:before="120" w:after="120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(</w:t>
            </w:r>
            <w:r w:rsidR="00616409">
              <w:rPr>
                <w:rFonts w:ascii="Verdana" w:hAnsi="Verdana" w:cs="Arial"/>
                <w:i/>
                <w:sz w:val="16"/>
                <w:szCs w:val="16"/>
              </w:rPr>
              <w:t xml:space="preserve">Cadastral Survey </w:t>
            </w:r>
            <w:r w:rsidRPr="00543D47">
              <w:rPr>
                <w:rFonts w:ascii="Verdana" w:hAnsi="Verdana" w:cs="Arial"/>
                <w:i/>
                <w:sz w:val="16"/>
                <w:szCs w:val="16"/>
              </w:rPr>
              <w:t>Rule</w:t>
            </w:r>
            <w:r w:rsidR="00616409">
              <w:rPr>
                <w:rFonts w:ascii="Verdana" w:hAnsi="Verdana" w:cs="Arial"/>
                <w:i/>
                <w:sz w:val="16"/>
                <w:szCs w:val="16"/>
              </w:rPr>
              <w:t>s 2021</w:t>
            </w:r>
            <w:r w:rsidRPr="00543D47">
              <w:rPr>
                <w:rFonts w:ascii="Verdana" w:hAnsi="Verdana" w:cs="Arial"/>
                <w:i/>
                <w:sz w:val="16"/>
                <w:szCs w:val="16"/>
              </w:rPr>
              <w:t xml:space="preserve"> and Standard </w:t>
            </w:r>
            <w:r w:rsidR="00616409">
              <w:rPr>
                <w:rFonts w:ascii="Verdana" w:hAnsi="Verdana" w:cs="Arial"/>
                <w:i/>
                <w:sz w:val="16"/>
                <w:szCs w:val="16"/>
              </w:rPr>
              <w:t xml:space="preserve">for lodgement of cadastral survey datasets </w:t>
            </w:r>
            <w:r>
              <w:rPr>
                <w:rFonts w:ascii="Verdana" w:hAnsi="Verdana" w:cs="Arial"/>
                <w:i/>
                <w:sz w:val="16"/>
                <w:szCs w:val="16"/>
              </w:rPr>
              <w:t>references are shown where a section contains mandatory reporting requirements)</w:t>
            </w:r>
          </w:p>
        </w:tc>
        <w:tc>
          <w:tcPr>
            <w:tcW w:w="6162" w:type="dxa"/>
          </w:tcPr>
          <w:p w14:paraId="23379802" w14:textId="77777777" w:rsidR="00EE7C1D" w:rsidRPr="00D129DC" w:rsidRDefault="00EE7C1D" w:rsidP="00A02BE0">
            <w:pPr>
              <w:spacing w:before="120" w:after="120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D129DC">
              <w:rPr>
                <w:rFonts w:ascii="Verdana" w:hAnsi="Verdana" w:cs="Arial"/>
                <w:b/>
                <w:sz w:val="24"/>
                <w:szCs w:val="24"/>
              </w:rPr>
              <w:t>SURVEYOR’S COMMENT</w:t>
            </w:r>
          </w:p>
          <w:p w14:paraId="26CF41CC" w14:textId="77777777" w:rsidR="00EE7C1D" w:rsidRPr="002B4BC6" w:rsidRDefault="00EE7C1D" w:rsidP="00A73A7A">
            <w:pPr>
              <w:spacing w:before="120" w:after="120"/>
              <w:rPr>
                <w:rFonts w:ascii="Verdana" w:hAnsi="Verdana" w:cs="Microsoft Sans Serif"/>
                <w:i/>
                <w:sz w:val="16"/>
                <w:szCs w:val="16"/>
                <w:lang w:val="en-NZ"/>
              </w:rPr>
            </w:pPr>
            <w:r w:rsidRPr="002B4BC6">
              <w:rPr>
                <w:rFonts w:ascii="Verdana" w:hAnsi="Verdana" w:cs="Arial"/>
                <w:i/>
                <w:sz w:val="16"/>
                <w:szCs w:val="16"/>
              </w:rPr>
              <w:t>(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Guidance notes are given to assist with providing sufficient information to comply with the mandatory reporting requirements of </w:t>
            </w:r>
            <w:r w:rsidR="00563844">
              <w:rPr>
                <w:rFonts w:ascii="Verdana" w:hAnsi="Verdana" w:cs="Arial"/>
                <w:i/>
                <w:sz w:val="16"/>
                <w:szCs w:val="16"/>
              </w:rPr>
              <w:t>CSR 2021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, </w:t>
            </w:r>
            <w:r w:rsidRPr="00543D47">
              <w:rPr>
                <w:rFonts w:ascii="Verdana" w:hAnsi="Verdana" w:cs="Arial"/>
                <w:i/>
                <w:sz w:val="16"/>
                <w:szCs w:val="16"/>
              </w:rPr>
              <w:t>Standard for lodgement and to enable efficient validation of the CSD by LINZ staff)</w:t>
            </w:r>
          </w:p>
        </w:tc>
      </w:tr>
      <w:tr w:rsidR="00EE7C1D" w:rsidRPr="00D129DC" w14:paraId="000CAC42" w14:textId="77777777" w:rsidTr="00543D47">
        <w:tc>
          <w:tcPr>
            <w:tcW w:w="4038" w:type="dxa"/>
            <w:gridSpan w:val="3"/>
          </w:tcPr>
          <w:p w14:paraId="610703B5" w14:textId="77777777" w:rsidR="00EE7C1D" w:rsidRPr="00CD2223" w:rsidRDefault="00EE7C1D" w:rsidP="00CD2223">
            <w:pPr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CSD </w:t>
            </w:r>
            <w:r w:rsidR="001B52F0">
              <w:rPr>
                <w:rFonts w:ascii="Verdana" w:hAnsi="Verdana" w:cs="Arial"/>
                <w:b/>
                <w:sz w:val="18"/>
                <w:szCs w:val="18"/>
              </w:rPr>
              <w:t>Number</w:t>
            </w:r>
            <w:r w:rsidRPr="00CD2223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6162" w:type="dxa"/>
          </w:tcPr>
          <w:p w14:paraId="65260EA5" w14:textId="77777777" w:rsidR="00EE7C1D" w:rsidRPr="008F2663" w:rsidRDefault="00EE7C1D" w:rsidP="00F04553">
            <w:pPr>
              <w:spacing w:before="120" w:after="120"/>
              <w:rPr>
                <w:rFonts w:ascii="Verdana" w:hAnsi="Verdana" w:cs="Microsoft Sans Serif"/>
                <w:sz w:val="16"/>
                <w:szCs w:val="16"/>
                <w:lang w:val="en-NZ"/>
              </w:rPr>
            </w:pPr>
          </w:p>
        </w:tc>
      </w:tr>
      <w:tr w:rsidR="00EE7C1D" w:rsidRPr="00D129DC" w14:paraId="77BF30D9" w14:textId="77777777" w:rsidTr="00543D47">
        <w:tc>
          <w:tcPr>
            <w:tcW w:w="4038" w:type="dxa"/>
            <w:gridSpan w:val="3"/>
          </w:tcPr>
          <w:p w14:paraId="01390B11" w14:textId="77777777" w:rsidR="00EE7C1D" w:rsidRPr="00CD2223" w:rsidRDefault="00EE7C1D" w:rsidP="00CD2223">
            <w:pPr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CD2223">
              <w:rPr>
                <w:rFonts w:ascii="Verdana" w:hAnsi="Verdana" w:cs="Arial"/>
                <w:b/>
                <w:sz w:val="18"/>
                <w:szCs w:val="18"/>
              </w:rPr>
              <w:t>Lodging Surveyor:</w:t>
            </w:r>
          </w:p>
        </w:tc>
        <w:tc>
          <w:tcPr>
            <w:tcW w:w="6162" w:type="dxa"/>
          </w:tcPr>
          <w:p w14:paraId="046A294D" w14:textId="77777777" w:rsidR="00EE7C1D" w:rsidRPr="008F2663" w:rsidRDefault="00EE7C1D" w:rsidP="00F04553">
            <w:pPr>
              <w:spacing w:before="120" w:after="120"/>
              <w:rPr>
                <w:rFonts w:ascii="Verdana" w:hAnsi="Verdana" w:cs="Microsoft Sans Serif"/>
                <w:sz w:val="16"/>
                <w:szCs w:val="16"/>
                <w:lang w:val="en-NZ"/>
              </w:rPr>
            </w:pPr>
          </w:p>
        </w:tc>
      </w:tr>
      <w:tr w:rsidR="00EE7C1D" w:rsidRPr="00D129DC" w14:paraId="20E03641" w14:textId="77777777" w:rsidTr="00543D47">
        <w:tc>
          <w:tcPr>
            <w:tcW w:w="717" w:type="dxa"/>
            <w:tcBorders>
              <w:left w:val="nil"/>
              <w:right w:val="nil"/>
            </w:tcBorders>
          </w:tcPr>
          <w:p w14:paraId="7CC1FB16" w14:textId="77777777" w:rsidR="00EE7C1D" w:rsidRPr="00CD2223" w:rsidRDefault="00EE7C1D" w:rsidP="00CD222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21" w:type="dxa"/>
            <w:gridSpan w:val="2"/>
            <w:tcBorders>
              <w:left w:val="nil"/>
              <w:right w:val="nil"/>
            </w:tcBorders>
          </w:tcPr>
          <w:p w14:paraId="38CA7799" w14:textId="77777777" w:rsidR="00EE7C1D" w:rsidRPr="00CD2223" w:rsidRDefault="00EE7C1D" w:rsidP="00CD222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162" w:type="dxa"/>
            <w:tcBorders>
              <w:left w:val="nil"/>
              <w:right w:val="nil"/>
            </w:tcBorders>
          </w:tcPr>
          <w:p w14:paraId="4A5B051E" w14:textId="77777777" w:rsidR="00EE7C1D" w:rsidRPr="008F2663" w:rsidRDefault="00EE7C1D" w:rsidP="00CD2223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EE7C1D" w:rsidRPr="00D129DC" w14:paraId="01B50A5B" w14:textId="77777777" w:rsidTr="00543D47">
        <w:tc>
          <w:tcPr>
            <w:tcW w:w="717" w:type="dxa"/>
            <w:vMerge w:val="restart"/>
            <w:tcBorders>
              <w:bottom w:val="nil"/>
              <w:right w:val="nil"/>
            </w:tcBorders>
          </w:tcPr>
          <w:p w14:paraId="548E13BC" w14:textId="77777777" w:rsidR="00EE7C1D" w:rsidRPr="00CD2223" w:rsidRDefault="00137C4B" w:rsidP="00CD2223">
            <w:pPr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</w:tc>
        <w:tc>
          <w:tcPr>
            <w:tcW w:w="3321" w:type="dxa"/>
            <w:gridSpan w:val="2"/>
            <w:tcBorders>
              <w:left w:val="nil"/>
            </w:tcBorders>
          </w:tcPr>
          <w:p w14:paraId="6997EF02" w14:textId="77777777" w:rsidR="00EE7C1D" w:rsidRPr="00CD2223" w:rsidRDefault="00EE7C1D" w:rsidP="00CD2223">
            <w:pPr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 w:rsidRPr="00CD2223">
              <w:rPr>
                <w:rFonts w:ascii="Verdana" w:hAnsi="Verdana" w:cs="Arial"/>
                <w:b/>
                <w:sz w:val="18"/>
                <w:szCs w:val="18"/>
              </w:rPr>
              <w:t xml:space="preserve">Completeness of Information: </w:t>
            </w:r>
          </w:p>
        </w:tc>
        <w:tc>
          <w:tcPr>
            <w:tcW w:w="6162" w:type="dxa"/>
          </w:tcPr>
          <w:p w14:paraId="492DEB9F" w14:textId="4579D89D" w:rsidR="00EE7C1D" w:rsidRPr="00543D47" w:rsidRDefault="00EE7C1D" w:rsidP="00F04553">
            <w:pPr>
              <w:spacing w:before="120" w:after="120"/>
              <w:rPr>
                <w:rFonts w:ascii="Verdana" w:hAnsi="Verdana" w:cs="Microsoft Sans Serif"/>
                <w:i/>
                <w:sz w:val="16"/>
                <w:szCs w:val="16"/>
                <w:lang w:val="en-NZ"/>
              </w:rPr>
            </w:pPr>
            <w:r w:rsidRPr="008F2663">
              <w:rPr>
                <w:rFonts w:ascii="Verdana" w:hAnsi="Verdana" w:cs="Microsoft Sans Serif"/>
                <w:i/>
                <w:sz w:val="16"/>
                <w:szCs w:val="16"/>
                <w:lang w:val="en-NZ"/>
              </w:rPr>
              <w:t>State the number of pages contained in each set of documents supplied.  This will help ensure information is not accidentally missed.</w:t>
            </w:r>
          </w:p>
        </w:tc>
      </w:tr>
      <w:tr w:rsidR="00EE7C1D" w:rsidRPr="00D129DC" w14:paraId="545ADCD0" w14:textId="77777777" w:rsidTr="00543D47">
        <w:tc>
          <w:tcPr>
            <w:tcW w:w="717" w:type="dxa"/>
            <w:vMerge/>
            <w:tcBorders>
              <w:bottom w:val="nil"/>
              <w:right w:val="nil"/>
            </w:tcBorders>
          </w:tcPr>
          <w:p w14:paraId="195B0580" w14:textId="77777777" w:rsidR="00EE7C1D" w:rsidRPr="00CD2223" w:rsidRDefault="00EE7C1D" w:rsidP="00CD2223">
            <w:pPr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nil"/>
              <w:left w:val="nil"/>
            </w:tcBorders>
          </w:tcPr>
          <w:p w14:paraId="53EEBB12" w14:textId="77777777" w:rsidR="00EE7C1D" w:rsidRPr="00CD2223" w:rsidRDefault="00EE7C1D" w:rsidP="00CD2223">
            <w:pPr>
              <w:spacing w:before="120" w:after="12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CD2223">
              <w:rPr>
                <w:rFonts w:ascii="Verdana" w:hAnsi="Verdana" w:cs="Arial"/>
                <w:b/>
                <w:i/>
                <w:sz w:val="18"/>
                <w:szCs w:val="18"/>
              </w:rPr>
              <w:t>Document Type.</w:t>
            </w:r>
          </w:p>
        </w:tc>
        <w:tc>
          <w:tcPr>
            <w:tcW w:w="827" w:type="dxa"/>
            <w:tcBorders>
              <w:top w:val="nil"/>
              <w:left w:val="nil"/>
            </w:tcBorders>
          </w:tcPr>
          <w:p w14:paraId="088B7B88" w14:textId="77777777" w:rsidR="00EE7C1D" w:rsidRPr="00CD2223" w:rsidRDefault="00EE7C1D" w:rsidP="00CD2223">
            <w:pPr>
              <w:spacing w:before="120" w:after="120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CD2223">
              <w:rPr>
                <w:rFonts w:ascii="Verdana" w:hAnsi="Verdana" w:cs="Arial"/>
                <w:b/>
                <w:i/>
                <w:sz w:val="18"/>
                <w:szCs w:val="18"/>
              </w:rPr>
              <w:t>No. of pages</w:t>
            </w:r>
          </w:p>
        </w:tc>
        <w:tc>
          <w:tcPr>
            <w:tcW w:w="6162" w:type="dxa"/>
          </w:tcPr>
          <w:p w14:paraId="6A0EC9A6" w14:textId="77777777" w:rsidR="00EE7C1D" w:rsidRPr="008F2663" w:rsidRDefault="00EE7C1D" w:rsidP="00851DE3">
            <w:pPr>
              <w:spacing w:before="120" w:after="120"/>
              <w:ind w:left="720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8F2663">
              <w:rPr>
                <w:rFonts w:ascii="Verdana" w:hAnsi="Verdana" w:cs="Arial"/>
                <w:b/>
                <w:i/>
                <w:sz w:val="16"/>
                <w:szCs w:val="16"/>
              </w:rPr>
              <w:t>Add additional notes or descriptions against supporting document where this might assist other users</w:t>
            </w:r>
          </w:p>
        </w:tc>
      </w:tr>
      <w:tr w:rsidR="00EE7C1D" w:rsidRPr="00D129DC" w14:paraId="68139535" w14:textId="77777777" w:rsidTr="00543D47">
        <w:tc>
          <w:tcPr>
            <w:tcW w:w="717" w:type="dxa"/>
            <w:tcBorders>
              <w:top w:val="nil"/>
              <w:bottom w:val="nil"/>
              <w:right w:val="nil"/>
            </w:tcBorders>
          </w:tcPr>
          <w:p w14:paraId="3CD60CE7" w14:textId="77777777" w:rsidR="00EE7C1D" w:rsidRPr="00CD2223" w:rsidRDefault="00EE7C1D" w:rsidP="00CD2223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94" w:type="dxa"/>
            <w:tcBorders>
              <w:left w:val="nil"/>
            </w:tcBorders>
          </w:tcPr>
          <w:p w14:paraId="7AB9BEA0" w14:textId="632DC294" w:rsidR="00EE7C1D" w:rsidRPr="00CD2223" w:rsidRDefault="00EE7C1D" w:rsidP="00CD2223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CD2223">
              <w:rPr>
                <w:rFonts w:ascii="Verdana" w:hAnsi="Verdana" w:cs="Arial"/>
                <w:sz w:val="18"/>
                <w:szCs w:val="18"/>
              </w:rPr>
              <w:t>Survey Report</w:t>
            </w:r>
            <w:r w:rsidR="00EA29B2">
              <w:rPr>
                <w:rFonts w:ascii="Verdana" w:hAnsi="Verdana" w:cs="Arial"/>
                <w:sz w:val="18"/>
                <w:szCs w:val="18"/>
              </w:rPr>
              <w:t xml:space="preserve"> (</w:t>
            </w:r>
            <w:r w:rsidRPr="00CD2223">
              <w:rPr>
                <w:rFonts w:ascii="Verdana" w:hAnsi="Verdana" w:cs="Arial"/>
                <w:sz w:val="18"/>
                <w:szCs w:val="18"/>
              </w:rPr>
              <w:t xml:space="preserve">r </w:t>
            </w:r>
            <w:r w:rsidR="0088249B">
              <w:rPr>
                <w:rFonts w:ascii="Verdana" w:hAnsi="Verdana" w:cs="Arial"/>
                <w:sz w:val="18"/>
                <w:szCs w:val="18"/>
              </w:rPr>
              <w:t>118</w:t>
            </w:r>
            <w:r w:rsidR="00EA29B2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827" w:type="dxa"/>
            <w:tcBorders>
              <w:left w:val="nil"/>
            </w:tcBorders>
          </w:tcPr>
          <w:p w14:paraId="42D2EF9E" w14:textId="77777777" w:rsidR="00EE7C1D" w:rsidRPr="00CD2223" w:rsidRDefault="00EE7C1D" w:rsidP="00CD2223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162" w:type="dxa"/>
          </w:tcPr>
          <w:p w14:paraId="313F6507" w14:textId="77777777" w:rsidR="00EE7C1D" w:rsidRPr="008F2663" w:rsidRDefault="00EE7C1D" w:rsidP="00F04553">
            <w:pPr>
              <w:spacing w:before="120" w:after="12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EE7C1D" w:rsidRPr="00D129DC" w14:paraId="2DB17E72" w14:textId="77777777" w:rsidTr="00543D47">
        <w:tc>
          <w:tcPr>
            <w:tcW w:w="717" w:type="dxa"/>
            <w:tcBorders>
              <w:top w:val="nil"/>
              <w:bottom w:val="nil"/>
              <w:right w:val="nil"/>
            </w:tcBorders>
          </w:tcPr>
          <w:p w14:paraId="52500006" w14:textId="77777777" w:rsidR="00EE7C1D" w:rsidRPr="00CD2223" w:rsidRDefault="00EE7C1D" w:rsidP="00CD2223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94" w:type="dxa"/>
            <w:tcBorders>
              <w:left w:val="nil"/>
            </w:tcBorders>
          </w:tcPr>
          <w:p w14:paraId="621DC3FD" w14:textId="105E4997" w:rsidR="00EE7C1D" w:rsidRPr="00CD2223" w:rsidRDefault="00EE7C1D" w:rsidP="00CD2223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CD2223">
              <w:rPr>
                <w:rFonts w:ascii="Verdana" w:hAnsi="Verdana" w:cs="Arial"/>
                <w:sz w:val="18"/>
                <w:szCs w:val="18"/>
              </w:rPr>
              <w:t>Field Notes:</w:t>
            </w:r>
            <w:r w:rsidR="00CD54C4">
              <w:rPr>
                <w:rFonts w:ascii="Verdana" w:hAnsi="Verdana" w:cs="Arial"/>
                <w:sz w:val="18"/>
                <w:szCs w:val="18"/>
              </w:rPr>
              <w:t xml:space="preserve"> (r</w:t>
            </w:r>
            <w:r w:rsidR="005E262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CD54C4">
              <w:rPr>
                <w:rFonts w:ascii="Verdana" w:hAnsi="Verdana" w:cs="Arial"/>
                <w:sz w:val="18"/>
                <w:szCs w:val="18"/>
              </w:rPr>
              <w:t>117(d))</w:t>
            </w:r>
          </w:p>
        </w:tc>
        <w:tc>
          <w:tcPr>
            <w:tcW w:w="827" w:type="dxa"/>
            <w:tcBorders>
              <w:left w:val="nil"/>
            </w:tcBorders>
          </w:tcPr>
          <w:p w14:paraId="2AF4AAA3" w14:textId="77777777" w:rsidR="00EE7C1D" w:rsidRPr="00CD2223" w:rsidRDefault="00EE7C1D" w:rsidP="00CD2223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162" w:type="dxa"/>
          </w:tcPr>
          <w:p w14:paraId="0742EE02" w14:textId="77777777" w:rsidR="00EE7C1D" w:rsidRPr="008F2663" w:rsidRDefault="00EE7C1D" w:rsidP="00F04553">
            <w:pPr>
              <w:spacing w:before="120" w:after="120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EE7C1D" w:rsidRPr="00D129DC" w14:paraId="0E206451" w14:textId="77777777" w:rsidTr="00543D47">
        <w:tc>
          <w:tcPr>
            <w:tcW w:w="717" w:type="dxa"/>
            <w:tcBorders>
              <w:top w:val="nil"/>
              <w:bottom w:val="nil"/>
              <w:right w:val="nil"/>
            </w:tcBorders>
          </w:tcPr>
          <w:p w14:paraId="0D4CAC57" w14:textId="77777777" w:rsidR="00EE7C1D" w:rsidRPr="00CD2223" w:rsidRDefault="00EE7C1D" w:rsidP="00CD2223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94" w:type="dxa"/>
            <w:tcBorders>
              <w:left w:val="nil"/>
            </w:tcBorders>
          </w:tcPr>
          <w:p w14:paraId="517C3FAD" w14:textId="32713E29" w:rsidR="00EE7C1D" w:rsidRPr="00CD2223" w:rsidRDefault="00EE7C1D" w:rsidP="00851DE3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CD2223">
              <w:rPr>
                <w:rFonts w:ascii="Verdana" w:hAnsi="Verdana" w:cs="Arial"/>
                <w:sz w:val="18"/>
                <w:szCs w:val="18"/>
              </w:rPr>
              <w:t>Calc Sheets:</w:t>
            </w:r>
          </w:p>
          <w:p w14:paraId="26A3A0EC" w14:textId="77777777" w:rsidR="00EE7C1D" w:rsidRPr="00851DE3" w:rsidRDefault="00EE7C1D" w:rsidP="00A972F3">
            <w:pPr>
              <w:spacing w:after="120"/>
              <w:ind w:left="176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827" w:type="dxa"/>
            <w:tcBorders>
              <w:left w:val="nil"/>
            </w:tcBorders>
          </w:tcPr>
          <w:p w14:paraId="6E6145BD" w14:textId="77777777" w:rsidR="00EE7C1D" w:rsidRPr="00CD2223" w:rsidRDefault="00EE7C1D" w:rsidP="00CD2223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162" w:type="dxa"/>
          </w:tcPr>
          <w:p w14:paraId="24BD52DB" w14:textId="05191BAD" w:rsidR="00EE7C1D" w:rsidRPr="00C60415" w:rsidRDefault="00EE7C1D" w:rsidP="00F04553">
            <w:pPr>
              <w:spacing w:before="120" w:after="120"/>
              <w:rPr>
                <w:rFonts w:ascii="Verdana" w:hAnsi="Verdana" w:cs="Arial"/>
                <w:i/>
                <w:sz w:val="16"/>
                <w:szCs w:val="16"/>
              </w:rPr>
            </w:pPr>
            <w:r w:rsidRPr="00C60415">
              <w:rPr>
                <w:rFonts w:ascii="Verdana" w:hAnsi="Verdana" w:cs="Arial"/>
                <w:i/>
                <w:sz w:val="16"/>
                <w:szCs w:val="16"/>
              </w:rPr>
              <w:t>May include error analysis, traverse sheets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, </w:t>
            </w:r>
            <w:r w:rsidRPr="00C60415">
              <w:rPr>
                <w:rFonts w:ascii="Verdana" w:hAnsi="Verdana" w:cs="Arial"/>
                <w:i/>
                <w:sz w:val="16"/>
                <w:szCs w:val="16"/>
              </w:rPr>
              <w:t>and/or calculations justifying the orientation of the survey in terms of the official geodetic projection/bearing corrections.</w:t>
            </w:r>
          </w:p>
        </w:tc>
      </w:tr>
      <w:tr w:rsidR="00EE7C1D" w:rsidRPr="00D129DC" w14:paraId="7DDFF5C3" w14:textId="77777777" w:rsidTr="00543D47">
        <w:tc>
          <w:tcPr>
            <w:tcW w:w="717" w:type="dxa"/>
            <w:tcBorders>
              <w:top w:val="nil"/>
              <w:bottom w:val="nil"/>
              <w:right w:val="nil"/>
            </w:tcBorders>
          </w:tcPr>
          <w:p w14:paraId="0BB53937" w14:textId="77777777" w:rsidR="00EE7C1D" w:rsidRPr="00CD2223" w:rsidRDefault="00EE7C1D" w:rsidP="00CD2223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94" w:type="dxa"/>
            <w:tcBorders>
              <w:left w:val="nil"/>
            </w:tcBorders>
          </w:tcPr>
          <w:p w14:paraId="21DE9C1C" w14:textId="77777777" w:rsidR="00EE7C1D" w:rsidRDefault="00EE7C1D" w:rsidP="00CD2223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CD2223">
              <w:rPr>
                <w:rFonts w:ascii="Verdana" w:hAnsi="Verdana" w:cs="Arial"/>
                <w:sz w:val="18"/>
                <w:szCs w:val="18"/>
              </w:rPr>
              <w:t xml:space="preserve">Occupation </w:t>
            </w:r>
            <w:r w:rsidR="00CD54C4">
              <w:rPr>
                <w:rFonts w:ascii="Verdana" w:hAnsi="Verdana" w:cs="Arial"/>
                <w:sz w:val="18"/>
                <w:szCs w:val="18"/>
              </w:rPr>
              <w:t>information:</w:t>
            </w:r>
          </w:p>
          <w:p w14:paraId="4260B8E4" w14:textId="4FBD9D03" w:rsidR="00CD54C4" w:rsidRPr="00CD2223" w:rsidRDefault="00CD54C4" w:rsidP="00CD2223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(r 119(h))</w:t>
            </w:r>
          </w:p>
        </w:tc>
        <w:tc>
          <w:tcPr>
            <w:tcW w:w="827" w:type="dxa"/>
            <w:tcBorders>
              <w:left w:val="nil"/>
            </w:tcBorders>
          </w:tcPr>
          <w:p w14:paraId="13A1C85D" w14:textId="77777777" w:rsidR="00EE7C1D" w:rsidRPr="00CD2223" w:rsidRDefault="00EE7C1D" w:rsidP="00CD2223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162" w:type="dxa"/>
          </w:tcPr>
          <w:p w14:paraId="409060D7" w14:textId="29087598" w:rsidR="00EE7C1D" w:rsidRPr="008F2663" w:rsidRDefault="00EE7C1D" w:rsidP="00F04553">
            <w:pPr>
              <w:spacing w:before="120" w:after="120"/>
              <w:rPr>
                <w:rFonts w:ascii="Verdana" w:hAnsi="Verdana" w:cs="Arial"/>
                <w:i/>
                <w:sz w:val="16"/>
                <w:szCs w:val="16"/>
              </w:rPr>
            </w:pPr>
            <w:r w:rsidRPr="008F2663">
              <w:rPr>
                <w:rFonts w:ascii="Verdana" w:hAnsi="Verdana" w:cs="Arial"/>
                <w:i/>
                <w:sz w:val="16"/>
                <w:szCs w:val="16"/>
              </w:rPr>
              <w:t xml:space="preserve">Occupation diagrams should be attached as supporting document type “Occupation Diagram”.    </w:t>
            </w:r>
          </w:p>
        </w:tc>
      </w:tr>
      <w:tr w:rsidR="00EE7C1D" w:rsidRPr="00D129DC" w14:paraId="20E05681" w14:textId="77777777" w:rsidTr="00543D47">
        <w:tc>
          <w:tcPr>
            <w:tcW w:w="717" w:type="dxa"/>
            <w:tcBorders>
              <w:left w:val="nil"/>
              <w:right w:val="nil"/>
            </w:tcBorders>
          </w:tcPr>
          <w:p w14:paraId="407E6A3E" w14:textId="77777777" w:rsidR="00EE7C1D" w:rsidRPr="00CD2223" w:rsidRDefault="00EE7C1D" w:rsidP="00CD222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21" w:type="dxa"/>
            <w:gridSpan w:val="2"/>
            <w:tcBorders>
              <w:left w:val="nil"/>
              <w:right w:val="nil"/>
            </w:tcBorders>
          </w:tcPr>
          <w:p w14:paraId="4CBEA577" w14:textId="77777777" w:rsidR="00EE7C1D" w:rsidRPr="00CD2223" w:rsidRDefault="00EE7C1D" w:rsidP="00CD222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162" w:type="dxa"/>
            <w:tcBorders>
              <w:left w:val="nil"/>
              <w:right w:val="nil"/>
            </w:tcBorders>
          </w:tcPr>
          <w:p w14:paraId="48DEA803" w14:textId="77777777" w:rsidR="00EE7C1D" w:rsidRPr="008F2663" w:rsidRDefault="00EE7C1D" w:rsidP="00CD2223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EE7C1D" w:rsidRPr="00D129DC" w14:paraId="299711C1" w14:textId="77777777" w:rsidTr="00543D47">
        <w:tc>
          <w:tcPr>
            <w:tcW w:w="717" w:type="dxa"/>
            <w:tcBorders>
              <w:bottom w:val="nil"/>
              <w:right w:val="nil"/>
            </w:tcBorders>
          </w:tcPr>
          <w:p w14:paraId="59635D6A" w14:textId="77777777" w:rsidR="00EE7C1D" w:rsidRPr="00CD2223" w:rsidRDefault="00137C4B" w:rsidP="00CD2223">
            <w:pPr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3321" w:type="dxa"/>
            <w:gridSpan w:val="2"/>
            <w:tcBorders>
              <w:left w:val="nil"/>
              <w:bottom w:val="nil"/>
            </w:tcBorders>
          </w:tcPr>
          <w:p w14:paraId="5403A172" w14:textId="77777777" w:rsidR="00EE7C1D" w:rsidRPr="00CD2223" w:rsidRDefault="00EE7C1D" w:rsidP="00CD2223">
            <w:pPr>
              <w:tabs>
                <w:tab w:val="left" w:pos="399"/>
              </w:tabs>
              <w:spacing w:before="120" w:after="120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 w:rsidRPr="00CD2223">
              <w:rPr>
                <w:rFonts w:ascii="Verdana" w:hAnsi="Verdana" w:cs="Arial"/>
                <w:b/>
                <w:iCs/>
                <w:sz w:val="18"/>
                <w:szCs w:val="18"/>
              </w:rPr>
              <w:t>Datum</w:t>
            </w: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>s and Orientation:</w:t>
            </w:r>
          </w:p>
        </w:tc>
        <w:tc>
          <w:tcPr>
            <w:tcW w:w="6162" w:type="dxa"/>
            <w:tcBorders>
              <w:bottom w:val="nil"/>
            </w:tcBorders>
          </w:tcPr>
          <w:p w14:paraId="2A556882" w14:textId="77777777" w:rsidR="00EE7C1D" w:rsidRPr="008F2663" w:rsidRDefault="00EE7C1D" w:rsidP="00F04553">
            <w:pPr>
              <w:spacing w:before="120" w:after="120"/>
              <w:rPr>
                <w:rFonts w:ascii="Verdana" w:hAnsi="Verdana" w:cs="Microsoft Sans Serif"/>
                <w:i/>
                <w:sz w:val="16"/>
                <w:szCs w:val="16"/>
                <w:lang w:val="en-NZ"/>
              </w:rPr>
            </w:pPr>
          </w:p>
        </w:tc>
      </w:tr>
      <w:tr w:rsidR="00EE7C1D" w:rsidRPr="00D129DC" w14:paraId="608ECF69" w14:textId="77777777" w:rsidTr="00543D47">
        <w:tc>
          <w:tcPr>
            <w:tcW w:w="717" w:type="dxa"/>
            <w:tcBorders>
              <w:top w:val="nil"/>
              <w:bottom w:val="nil"/>
              <w:right w:val="nil"/>
            </w:tcBorders>
          </w:tcPr>
          <w:p w14:paraId="2390DA61" w14:textId="77777777" w:rsidR="00EE7C1D" w:rsidRPr="00CD2223" w:rsidRDefault="00EE7C1D" w:rsidP="00CD2223">
            <w:pPr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21" w:type="dxa"/>
            <w:gridSpan w:val="2"/>
            <w:tcBorders>
              <w:top w:val="nil"/>
              <w:left w:val="nil"/>
              <w:bottom w:val="nil"/>
            </w:tcBorders>
          </w:tcPr>
          <w:p w14:paraId="071676BC" w14:textId="77777777" w:rsidR="00EE7C1D" w:rsidRDefault="00EE7C1D" w:rsidP="00B755B8">
            <w:pPr>
              <w:tabs>
                <w:tab w:val="left" w:pos="475"/>
              </w:tabs>
              <w:spacing w:before="120" w:after="120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>a)</w:t>
            </w:r>
            <w:r w:rsidRPr="00CD2223">
              <w:rPr>
                <w:rFonts w:ascii="Verdana" w:hAnsi="Verdana" w:cs="Arial"/>
                <w:b/>
                <w:iCs/>
                <w:sz w:val="18"/>
                <w:szCs w:val="18"/>
              </w:rPr>
              <w:tab/>
              <w:t>Horizontal Datum:</w:t>
            </w:r>
          </w:p>
          <w:p w14:paraId="03D5C652" w14:textId="0132C9FF" w:rsidR="00EE7C1D" w:rsidRPr="003D532D" w:rsidRDefault="00EE7C1D" w:rsidP="00396E73">
            <w:pPr>
              <w:spacing w:before="120" w:after="120"/>
              <w:ind w:left="375"/>
              <w:rPr>
                <w:rFonts w:ascii="Verdana" w:hAnsi="Verdana" w:cs="Arial"/>
                <w:iCs/>
                <w:sz w:val="18"/>
                <w:szCs w:val="18"/>
              </w:rPr>
            </w:pPr>
            <w:proofErr w:type="spellStart"/>
            <w:r w:rsidRPr="00CD2223">
              <w:rPr>
                <w:rFonts w:ascii="Verdana" w:hAnsi="Verdana" w:cs="Arial"/>
                <w:b/>
                <w:iCs/>
                <w:sz w:val="18"/>
                <w:szCs w:val="18"/>
              </w:rPr>
              <w:t>i</w:t>
            </w:r>
            <w:proofErr w:type="spellEnd"/>
            <w:r w:rsidRPr="00CD2223">
              <w:rPr>
                <w:rFonts w:ascii="Verdana" w:hAnsi="Verdana" w:cs="Arial"/>
                <w:b/>
                <w:iCs/>
                <w:sz w:val="18"/>
                <w:szCs w:val="18"/>
              </w:rPr>
              <w:t>) Orientation</w:t>
            </w: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>:</w:t>
            </w:r>
            <w:r w:rsidRPr="00CD2223">
              <w:rPr>
                <w:rFonts w:ascii="Verdana" w:hAnsi="Verdana" w:cs="Arial"/>
                <w:b/>
                <w:iCs/>
                <w:sz w:val="18"/>
                <w:szCs w:val="18"/>
              </w:rPr>
              <w:br/>
            </w:r>
            <w:r w:rsidR="00CD54C4">
              <w:rPr>
                <w:rFonts w:ascii="Verdana" w:hAnsi="Verdana" w:cs="Arial"/>
                <w:iCs/>
                <w:sz w:val="18"/>
                <w:szCs w:val="18"/>
              </w:rPr>
              <w:t>(</w:t>
            </w:r>
            <w:r w:rsidRPr="00CD2223">
              <w:rPr>
                <w:rFonts w:ascii="Verdana" w:hAnsi="Verdana" w:cs="Arial"/>
                <w:iCs/>
                <w:sz w:val="18"/>
                <w:szCs w:val="18"/>
              </w:rPr>
              <w:t xml:space="preserve">r </w:t>
            </w:r>
            <w:r w:rsidR="00723C4B">
              <w:rPr>
                <w:rFonts w:ascii="Verdana" w:hAnsi="Verdana" w:cs="Arial"/>
                <w:iCs/>
                <w:sz w:val="18"/>
                <w:szCs w:val="18"/>
              </w:rPr>
              <w:t>118(a)</w:t>
            </w:r>
            <w:r w:rsidR="00CD54C4">
              <w:rPr>
                <w:rFonts w:ascii="Verdana" w:hAnsi="Verdana" w:cs="Arial"/>
                <w:iCs/>
                <w:sz w:val="18"/>
                <w:szCs w:val="18"/>
              </w:rPr>
              <w:t>)</w:t>
            </w:r>
            <w:r w:rsidRPr="00CD2223">
              <w:rPr>
                <w:rFonts w:ascii="Verdana" w:hAnsi="Verdana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162" w:type="dxa"/>
            <w:tcBorders>
              <w:top w:val="nil"/>
              <w:bottom w:val="nil"/>
            </w:tcBorders>
          </w:tcPr>
          <w:p w14:paraId="0FCA5796" w14:textId="4D4D368C" w:rsidR="00EE7C1D" w:rsidRPr="00F64C24" w:rsidRDefault="00EE7C1D" w:rsidP="005E262F">
            <w:pPr>
              <w:spacing w:before="120" w:after="120"/>
              <w:rPr>
                <w:rFonts w:ascii="Verdana" w:hAnsi="Verdana" w:cs="Microsoft Sans Serif"/>
                <w:i/>
                <w:sz w:val="16"/>
                <w:szCs w:val="16"/>
                <w:lang w:val="en-NZ"/>
              </w:rPr>
            </w:pPr>
            <w:r w:rsidRPr="008F2663">
              <w:rPr>
                <w:rFonts w:ascii="Verdana" w:hAnsi="Verdana" w:cs="Microsoft Sans Serif"/>
                <w:i/>
                <w:sz w:val="16"/>
                <w:szCs w:val="16"/>
                <w:lang w:val="en-NZ"/>
              </w:rPr>
              <w:t>Report on the basis for determining the orientation of bearings</w:t>
            </w:r>
            <w:r w:rsidR="00723C4B">
              <w:rPr>
                <w:rFonts w:ascii="Verdana" w:hAnsi="Verdana" w:cs="Microsoft Sans Serif"/>
                <w:i/>
                <w:sz w:val="16"/>
                <w:szCs w:val="16"/>
                <w:lang w:val="en-NZ"/>
              </w:rPr>
              <w:t>. Refer to Rule 11</w:t>
            </w:r>
            <w:r w:rsidR="00543D47">
              <w:rPr>
                <w:rFonts w:ascii="Verdana" w:hAnsi="Verdana" w:cs="Microsoft Sans Serif"/>
                <w:i/>
                <w:sz w:val="16"/>
                <w:szCs w:val="16"/>
                <w:lang w:val="en-NZ"/>
              </w:rPr>
              <w:t>5</w:t>
            </w:r>
            <w:r w:rsidR="00723C4B">
              <w:rPr>
                <w:rFonts w:ascii="Verdana" w:hAnsi="Verdana" w:cs="Microsoft Sans Serif"/>
                <w:i/>
                <w:sz w:val="16"/>
                <w:szCs w:val="16"/>
                <w:lang w:val="en-NZ"/>
              </w:rPr>
              <w:t>.</w:t>
            </w:r>
          </w:p>
        </w:tc>
      </w:tr>
      <w:tr w:rsidR="00EE7C1D" w:rsidRPr="00D129DC" w14:paraId="7CCA82E6" w14:textId="77777777" w:rsidTr="00543D47">
        <w:tc>
          <w:tcPr>
            <w:tcW w:w="717" w:type="dxa"/>
            <w:tcBorders>
              <w:left w:val="nil"/>
              <w:right w:val="nil"/>
            </w:tcBorders>
          </w:tcPr>
          <w:p w14:paraId="61B7D8A4" w14:textId="77777777" w:rsidR="00EE7C1D" w:rsidRPr="00CD2223" w:rsidRDefault="00EE7C1D" w:rsidP="00CD222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21" w:type="dxa"/>
            <w:gridSpan w:val="2"/>
            <w:tcBorders>
              <w:left w:val="nil"/>
              <w:right w:val="nil"/>
            </w:tcBorders>
          </w:tcPr>
          <w:p w14:paraId="64FF0230" w14:textId="77777777" w:rsidR="00EE7C1D" w:rsidRPr="00CD2223" w:rsidRDefault="00EE7C1D" w:rsidP="00CD222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162" w:type="dxa"/>
            <w:tcBorders>
              <w:left w:val="nil"/>
              <w:right w:val="nil"/>
            </w:tcBorders>
          </w:tcPr>
          <w:p w14:paraId="2603D9E2" w14:textId="77777777" w:rsidR="00EE7C1D" w:rsidRPr="008F2663" w:rsidRDefault="00EE7C1D" w:rsidP="00CD2223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EE7C1D" w:rsidRPr="00D129DC" w14:paraId="3DB94EDC" w14:textId="77777777" w:rsidTr="00543D47">
        <w:tc>
          <w:tcPr>
            <w:tcW w:w="717" w:type="dxa"/>
            <w:tcBorders>
              <w:bottom w:val="nil"/>
              <w:right w:val="nil"/>
            </w:tcBorders>
          </w:tcPr>
          <w:p w14:paraId="000C9C8E" w14:textId="77777777" w:rsidR="00EE7C1D" w:rsidRPr="00CD2223" w:rsidRDefault="00137C4B" w:rsidP="00CD2223">
            <w:pPr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  <w:tc>
          <w:tcPr>
            <w:tcW w:w="3321" w:type="dxa"/>
            <w:gridSpan w:val="2"/>
            <w:tcBorders>
              <w:left w:val="nil"/>
              <w:bottom w:val="nil"/>
            </w:tcBorders>
          </w:tcPr>
          <w:p w14:paraId="7EDEB5BE" w14:textId="77777777" w:rsidR="003D2D38" w:rsidRDefault="00EE7C1D" w:rsidP="00CD2223">
            <w:pPr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Bearing </w:t>
            </w:r>
            <w:r w:rsidRPr="00CD2223">
              <w:rPr>
                <w:rFonts w:ascii="Verdana" w:hAnsi="Verdana" w:cs="Arial"/>
                <w:b/>
                <w:sz w:val="18"/>
                <w:szCs w:val="18"/>
              </w:rPr>
              <w:t xml:space="preserve">Adjustments: </w:t>
            </w:r>
          </w:p>
          <w:p w14:paraId="40EF4923" w14:textId="409032FA" w:rsidR="00EE7C1D" w:rsidRPr="00CD2223" w:rsidRDefault="00CD54C4" w:rsidP="00CD2223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(</w:t>
            </w:r>
            <w:r w:rsidR="00EE7C1D" w:rsidRPr="00CD2223">
              <w:rPr>
                <w:rFonts w:ascii="Verdana" w:hAnsi="Verdana" w:cs="Arial"/>
                <w:sz w:val="18"/>
                <w:szCs w:val="18"/>
              </w:rPr>
              <w:t xml:space="preserve">r </w:t>
            </w:r>
            <w:r w:rsidR="00137C4B">
              <w:rPr>
                <w:rFonts w:ascii="Verdana" w:hAnsi="Verdana" w:cs="Arial"/>
                <w:sz w:val="18"/>
                <w:szCs w:val="18"/>
              </w:rPr>
              <w:t>118(b)</w:t>
            </w:r>
            <w:r w:rsidR="00EE7C1D" w:rsidRPr="00CD2223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6162" w:type="dxa"/>
            <w:tcBorders>
              <w:bottom w:val="nil"/>
            </w:tcBorders>
          </w:tcPr>
          <w:p w14:paraId="36D5A8CB" w14:textId="77777777" w:rsidR="00EE7C1D" w:rsidRPr="008F2663" w:rsidRDefault="00EE7C1D" w:rsidP="00F04553">
            <w:pPr>
              <w:spacing w:before="120" w:after="120"/>
              <w:rPr>
                <w:rFonts w:ascii="Verdana" w:hAnsi="Verdana" w:cs="Arial"/>
                <w:i/>
                <w:sz w:val="16"/>
                <w:szCs w:val="16"/>
                <w:lang w:val="en-NZ"/>
              </w:rPr>
            </w:pPr>
            <w:r w:rsidRPr="008F2663">
              <w:rPr>
                <w:rFonts w:ascii="Verdana" w:hAnsi="Verdana" w:cs="Microsoft Sans Serif"/>
                <w:i/>
                <w:sz w:val="16"/>
                <w:szCs w:val="16"/>
                <w:lang w:val="en-NZ"/>
              </w:rPr>
              <w:t>Report on the basis for any bearing adjustment applied to an adopted bearing</w:t>
            </w:r>
            <w:r w:rsidR="00137C4B">
              <w:rPr>
                <w:rFonts w:ascii="Verdana" w:hAnsi="Verdana" w:cs="Microsoft Sans Serif"/>
                <w:i/>
                <w:sz w:val="16"/>
                <w:szCs w:val="16"/>
                <w:lang w:val="en-NZ"/>
              </w:rPr>
              <w:t>.</w:t>
            </w:r>
          </w:p>
        </w:tc>
      </w:tr>
      <w:tr w:rsidR="00EE7C1D" w:rsidRPr="00D129DC" w14:paraId="11424D6F" w14:textId="77777777" w:rsidTr="00543D47">
        <w:tc>
          <w:tcPr>
            <w:tcW w:w="717" w:type="dxa"/>
            <w:tcBorders>
              <w:left w:val="nil"/>
              <w:right w:val="nil"/>
            </w:tcBorders>
          </w:tcPr>
          <w:p w14:paraId="091322F8" w14:textId="77777777" w:rsidR="00EE7C1D" w:rsidRPr="00CD2223" w:rsidRDefault="00EE7C1D" w:rsidP="00CD222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21" w:type="dxa"/>
            <w:gridSpan w:val="2"/>
            <w:tcBorders>
              <w:left w:val="nil"/>
              <w:right w:val="nil"/>
            </w:tcBorders>
          </w:tcPr>
          <w:p w14:paraId="3E313DCA" w14:textId="77777777" w:rsidR="00EE7C1D" w:rsidRPr="00CD2223" w:rsidRDefault="00EE7C1D" w:rsidP="00CD222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162" w:type="dxa"/>
            <w:tcBorders>
              <w:left w:val="nil"/>
              <w:right w:val="nil"/>
            </w:tcBorders>
          </w:tcPr>
          <w:p w14:paraId="021C42FB" w14:textId="77777777" w:rsidR="00EE7C1D" w:rsidRPr="008F2663" w:rsidRDefault="00EE7C1D" w:rsidP="00CD2223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EE7C1D" w:rsidRPr="00D129DC" w14:paraId="18CD5EC2" w14:textId="77777777" w:rsidTr="00543D47">
        <w:tc>
          <w:tcPr>
            <w:tcW w:w="717" w:type="dxa"/>
            <w:tcBorders>
              <w:bottom w:val="nil"/>
              <w:right w:val="nil"/>
            </w:tcBorders>
          </w:tcPr>
          <w:p w14:paraId="37A16249" w14:textId="77777777" w:rsidR="00EE7C1D" w:rsidRPr="00CD2223" w:rsidRDefault="0088249B" w:rsidP="00CD2223">
            <w:pPr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4</w:t>
            </w:r>
          </w:p>
        </w:tc>
        <w:tc>
          <w:tcPr>
            <w:tcW w:w="3321" w:type="dxa"/>
            <w:gridSpan w:val="2"/>
            <w:tcBorders>
              <w:left w:val="nil"/>
              <w:bottom w:val="nil"/>
            </w:tcBorders>
          </w:tcPr>
          <w:p w14:paraId="45445586" w14:textId="77777777" w:rsidR="00EE7C1D" w:rsidRPr="00CD2223" w:rsidRDefault="00EE7C1D" w:rsidP="00F235BB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Boundary Definition</w:t>
            </w:r>
          </w:p>
        </w:tc>
        <w:tc>
          <w:tcPr>
            <w:tcW w:w="6162" w:type="dxa"/>
            <w:tcBorders>
              <w:bottom w:val="nil"/>
            </w:tcBorders>
          </w:tcPr>
          <w:p w14:paraId="6991C8B3" w14:textId="77777777" w:rsidR="00EE7C1D" w:rsidRPr="008F2663" w:rsidRDefault="00EE7C1D" w:rsidP="00F04553">
            <w:pPr>
              <w:spacing w:before="120" w:after="120"/>
              <w:rPr>
                <w:rFonts w:ascii="Verdana" w:hAnsi="Verdana" w:cs="Arial"/>
                <w:i/>
                <w:sz w:val="16"/>
                <w:szCs w:val="16"/>
                <w:lang w:val="en-NZ"/>
              </w:rPr>
            </w:pPr>
          </w:p>
        </w:tc>
      </w:tr>
      <w:tr w:rsidR="00EE7C1D" w:rsidRPr="00D129DC" w14:paraId="62DDC650" w14:textId="77777777" w:rsidTr="00543D47">
        <w:tc>
          <w:tcPr>
            <w:tcW w:w="717" w:type="dxa"/>
            <w:tcBorders>
              <w:top w:val="nil"/>
              <w:bottom w:val="nil"/>
              <w:right w:val="nil"/>
            </w:tcBorders>
          </w:tcPr>
          <w:p w14:paraId="19B90940" w14:textId="77777777" w:rsidR="00EE7C1D" w:rsidRPr="00CD2223" w:rsidRDefault="00EE7C1D" w:rsidP="00CD2223">
            <w:pPr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3321" w:type="dxa"/>
            <w:gridSpan w:val="2"/>
            <w:tcBorders>
              <w:top w:val="nil"/>
              <w:left w:val="nil"/>
              <w:bottom w:val="nil"/>
            </w:tcBorders>
          </w:tcPr>
          <w:p w14:paraId="6AA4AEBE" w14:textId="2A94B21E" w:rsidR="00EE7C1D" w:rsidRPr="00CD2223" w:rsidRDefault="00EE7C1D" w:rsidP="00CD2223">
            <w:pPr>
              <w:spacing w:before="120" w:after="120"/>
              <w:ind w:left="375" w:hanging="2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</w:t>
            </w:r>
            <w:r w:rsidRPr="00CD2223">
              <w:rPr>
                <w:rFonts w:ascii="Verdana" w:hAnsi="Verdana" w:cs="Arial"/>
                <w:sz w:val="18"/>
                <w:szCs w:val="18"/>
              </w:rPr>
              <w:t xml:space="preserve">). </w:t>
            </w:r>
            <w:bookmarkStart w:id="1" w:name="Defined_by_survey"/>
            <w:r w:rsidRPr="003C0831">
              <w:rPr>
                <w:rFonts w:ascii="Verdana" w:hAnsi="Verdana" w:cs="Arial"/>
                <w:b/>
                <w:sz w:val="18"/>
                <w:szCs w:val="18"/>
              </w:rPr>
              <w:t>Defined by survey</w:t>
            </w:r>
            <w:bookmarkEnd w:id="1"/>
            <w:r>
              <w:rPr>
                <w:rFonts w:ascii="Verdana" w:hAnsi="Verdana" w:cs="Arial"/>
                <w:sz w:val="18"/>
                <w:szCs w:val="18"/>
              </w:rPr>
              <w:br/>
            </w:r>
            <w:r w:rsidR="00CD54C4">
              <w:rPr>
                <w:rFonts w:ascii="Verdana" w:hAnsi="Verdana" w:cs="Arial"/>
                <w:sz w:val="18"/>
                <w:szCs w:val="18"/>
              </w:rPr>
              <w:t>(</w:t>
            </w:r>
            <w:r w:rsidRPr="00CD2223">
              <w:rPr>
                <w:rFonts w:ascii="Verdana" w:hAnsi="Verdana" w:cs="Arial"/>
                <w:sz w:val="18"/>
                <w:szCs w:val="18"/>
              </w:rPr>
              <w:t xml:space="preserve">r </w:t>
            </w:r>
            <w:r w:rsidR="0088249B">
              <w:rPr>
                <w:rFonts w:ascii="Verdana" w:hAnsi="Verdana" w:cs="Arial"/>
                <w:sz w:val="18"/>
                <w:szCs w:val="18"/>
              </w:rPr>
              <w:t>118(c)</w:t>
            </w:r>
            <w:r w:rsidR="00CD54C4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6162" w:type="dxa"/>
            <w:tcBorders>
              <w:top w:val="nil"/>
              <w:bottom w:val="nil"/>
            </w:tcBorders>
          </w:tcPr>
          <w:p w14:paraId="4AD0AEB3" w14:textId="77777777" w:rsidR="0088249B" w:rsidRDefault="00EE7C1D" w:rsidP="00F04553">
            <w:pPr>
              <w:spacing w:before="120" w:after="120"/>
              <w:rPr>
                <w:rFonts w:ascii="Verdana" w:hAnsi="Verdana"/>
                <w:i/>
                <w:sz w:val="16"/>
                <w:szCs w:val="16"/>
              </w:rPr>
            </w:pPr>
            <w:r w:rsidRPr="008F2663">
              <w:rPr>
                <w:rFonts w:ascii="Verdana" w:hAnsi="Verdana"/>
                <w:i/>
                <w:sz w:val="16"/>
                <w:szCs w:val="16"/>
              </w:rPr>
              <w:t xml:space="preserve">Report on reasons for, and details of decisions made </w:t>
            </w:r>
            <w:r w:rsidR="003D2D38">
              <w:rPr>
                <w:rFonts w:ascii="Verdana" w:hAnsi="Verdana"/>
                <w:i/>
                <w:sz w:val="16"/>
                <w:szCs w:val="16"/>
              </w:rPr>
              <w:t>about, an</w:t>
            </w:r>
            <w:r w:rsidRPr="008F2663">
              <w:rPr>
                <w:rFonts w:ascii="Verdana" w:hAnsi="Verdana"/>
                <w:i/>
                <w:sz w:val="16"/>
                <w:szCs w:val="16"/>
              </w:rPr>
              <w:t xml:space="preserve"> existing boundary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defined by survey</w:t>
            </w:r>
            <w:r w:rsidRPr="008F2663">
              <w:rPr>
                <w:rFonts w:ascii="Verdana" w:hAnsi="Verdana"/>
                <w:i/>
                <w:sz w:val="16"/>
                <w:szCs w:val="16"/>
              </w:rPr>
              <w:t>, and the information considered in o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rder to reach those decisions. </w:t>
            </w:r>
          </w:p>
          <w:p w14:paraId="7F650E2D" w14:textId="7632ABCA" w:rsidR="00EE7C1D" w:rsidRPr="00EA29B2" w:rsidDel="005E4191" w:rsidRDefault="00EE7C1D" w:rsidP="00F04553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See LINZ website for information on </w:t>
            </w:r>
            <w:hyperlink r:id="rId9" w:history="1">
              <w:r w:rsidRPr="00253B4D">
                <w:rPr>
                  <w:rStyle w:val="Hyperlink"/>
                  <w:rFonts w:ascii="Verdana" w:hAnsi="Verdana"/>
                  <w:i/>
                  <w:sz w:val="16"/>
                  <w:szCs w:val="16"/>
                </w:rPr>
                <w:t>‘defining by survey’</w:t>
              </w:r>
            </w:hyperlink>
            <w:r>
              <w:rPr>
                <w:rFonts w:ascii="Verdana" w:hAnsi="Verdana"/>
                <w:i/>
                <w:sz w:val="16"/>
                <w:szCs w:val="16"/>
              </w:rPr>
              <w:t>.</w:t>
            </w:r>
          </w:p>
        </w:tc>
      </w:tr>
      <w:tr w:rsidR="00EE7C1D" w:rsidRPr="00D129DC" w14:paraId="400008E8" w14:textId="77777777" w:rsidTr="00543D47">
        <w:tc>
          <w:tcPr>
            <w:tcW w:w="717" w:type="dxa"/>
            <w:tcBorders>
              <w:left w:val="nil"/>
              <w:right w:val="nil"/>
            </w:tcBorders>
          </w:tcPr>
          <w:p w14:paraId="710DCF8A" w14:textId="77777777" w:rsidR="00EE7C1D" w:rsidRPr="00CD2223" w:rsidRDefault="00EE7C1D" w:rsidP="00CD2223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321" w:type="dxa"/>
            <w:gridSpan w:val="2"/>
            <w:tcBorders>
              <w:left w:val="nil"/>
              <w:right w:val="nil"/>
            </w:tcBorders>
          </w:tcPr>
          <w:p w14:paraId="39DFD13A" w14:textId="77777777" w:rsidR="00EE7C1D" w:rsidRPr="00CD2223" w:rsidRDefault="00EE7C1D" w:rsidP="00CD222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162" w:type="dxa"/>
            <w:tcBorders>
              <w:left w:val="nil"/>
              <w:right w:val="nil"/>
            </w:tcBorders>
          </w:tcPr>
          <w:p w14:paraId="5A6A6DB8" w14:textId="77777777" w:rsidR="00EE7C1D" w:rsidRPr="008F2663" w:rsidRDefault="00EE7C1D" w:rsidP="00CD2223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EE7C1D" w:rsidRPr="00D129DC" w14:paraId="0150099E" w14:textId="77777777" w:rsidTr="00543D47">
        <w:tc>
          <w:tcPr>
            <w:tcW w:w="717" w:type="dxa"/>
            <w:tcBorders>
              <w:right w:val="nil"/>
            </w:tcBorders>
          </w:tcPr>
          <w:p w14:paraId="5C6276AF" w14:textId="77777777" w:rsidR="00EE7C1D" w:rsidRPr="00CD2223" w:rsidRDefault="0088249B" w:rsidP="00CD2223">
            <w:pPr>
              <w:spacing w:before="120" w:after="12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5</w:t>
            </w:r>
          </w:p>
        </w:tc>
        <w:tc>
          <w:tcPr>
            <w:tcW w:w="3321" w:type="dxa"/>
            <w:gridSpan w:val="2"/>
            <w:tcBorders>
              <w:left w:val="nil"/>
            </w:tcBorders>
          </w:tcPr>
          <w:p w14:paraId="486FFF93" w14:textId="09690B0E" w:rsidR="00EE7C1D" w:rsidRPr="001A0E0E" w:rsidRDefault="00EE7C1D" w:rsidP="001A0E0E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CD2223">
              <w:rPr>
                <w:rFonts w:ascii="Verdana" w:hAnsi="Verdana" w:cs="Arial"/>
                <w:b/>
                <w:sz w:val="18"/>
                <w:szCs w:val="18"/>
              </w:rPr>
              <w:t xml:space="preserve">Landonline Pre-Validation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Report</w:t>
            </w: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t>:</w:t>
            </w:r>
            <w:r>
              <w:rPr>
                <w:rFonts w:ascii="Verdana" w:hAnsi="Verdana" w:cs="Arial"/>
                <w:b/>
                <w:iCs/>
                <w:sz w:val="18"/>
                <w:szCs w:val="18"/>
              </w:rPr>
              <w:br/>
            </w:r>
            <w:r w:rsidR="00616409" w:rsidRPr="005E262F">
              <w:rPr>
                <w:rFonts w:ascii="Verdana" w:hAnsi="Verdana" w:cs="Arial"/>
                <w:iCs/>
                <w:sz w:val="18"/>
                <w:szCs w:val="18"/>
              </w:rPr>
              <w:t xml:space="preserve">Lodgement standard </w:t>
            </w:r>
            <w:r w:rsidRPr="005E262F">
              <w:rPr>
                <w:rFonts w:ascii="Verdana" w:hAnsi="Verdana" w:cs="Arial"/>
                <w:iCs/>
                <w:sz w:val="18"/>
                <w:szCs w:val="18"/>
              </w:rPr>
              <w:t>[s 7]</w:t>
            </w:r>
          </w:p>
        </w:tc>
        <w:tc>
          <w:tcPr>
            <w:tcW w:w="6162" w:type="dxa"/>
          </w:tcPr>
          <w:p w14:paraId="0BAC88BE" w14:textId="77777777" w:rsidR="00EE7C1D" w:rsidRPr="008F2663" w:rsidRDefault="00EE7C1D" w:rsidP="00FE6F67">
            <w:pPr>
              <w:spacing w:before="120"/>
              <w:rPr>
                <w:rFonts w:ascii="Verdana" w:hAnsi="Verdana" w:cs="Microsoft Sans Serif"/>
                <w:bCs/>
                <w:i/>
                <w:iCs/>
                <w:sz w:val="16"/>
                <w:szCs w:val="16"/>
              </w:rPr>
            </w:pPr>
            <w:r w:rsidRPr="008F2663">
              <w:rPr>
                <w:rFonts w:ascii="Verdana" w:hAnsi="Verdana" w:cs="Microsoft Sans Serif"/>
                <w:bCs/>
                <w:i/>
                <w:iCs/>
                <w:sz w:val="16"/>
                <w:szCs w:val="16"/>
              </w:rPr>
              <w:t>Explain the pre-validation warnings or conflicts.</w:t>
            </w:r>
          </w:p>
          <w:p w14:paraId="16ACF8FF" w14:textId="3C2265BD" w:rsidR="00EE7C1D" w:rsidRPr="008F2663" w:rsidRDefault="005E262F" w:rsidP="005E262F">
            <w:pPr>
              <w:spacing w:before="120"/>
              <w:rPr>
                <w:rFonts w:ascii="Verdana" w:hAnsi="Verdana" w:cs="Microsoft Sans Serif"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Microsoft Sans Serif"/>
                <w:bCs/>
                <w:i/>
                <w:iCs/>
                <w:sz w:val="16"/>
                <w:szCs w:val="16"/>
              </w:rPr>
              <w:t xml:space="preserve">See LINZ website for information on </w:t>
            </w:r>
            <w:hyperlink r:id="rId10" w:history="1">
              <w:r w:rsidRPr="005E262F">
                <w:rPr>
                  <w:rStyle w:val="Hyperlink"/>
                  <w:rFonts w:ascii="Verdana" w:hAnsi="Verdana" w:cs="Microsoft Sans Serif"/>
                  <w:bCs/>
                  <w:i/>
                  <w:iCs/>
                  <w:sz w:val="16"/>
                  <w:szCs w:val="16"/>
                </w:rPr>
                <w:t>e-survey pre-validation</w:t>
              </w:r>
            </w:hyperlink>
            <w:r>
              <w:rPr>
                <w:rFonts w:ascii="Verdana" w:hAnsi="Verdana" w:cs="Microsoft Sans Serif"/>
                <w:bCs/>
                <w:i/>
                <w:iCs/>
                <w:sz w:val="16"/>
                <w:szCs w:val="16"/>
              </w:rPr>
              <w:t>.</w:t>
            </w:r>
          </w:p>
          <w:p w14:paraId="04D90D0E" w14:textId="77777777" w:rsidR="00EE7C1D" w:rsidRPr="008F2663" w:rsidRDefault="00EE7C1D" w:rsidP="00FE6F67">
            <w:pPr>
              <w:spacing w:before="120"/>
              <w:rPr>
                <w:rFonts w:ascii="Verdana" w:hAnsi="Verdana" w:cs="Microsoft Sans Serif"/>
                <w:bCs/>
                <w:i/>
                <w:iCs/>
                <w:sz w:val="16"/>
                <w:szCs w:val="16"/>
              </w:rPr>
            </w:pPr>
            <w:r w:rsidRPr="008F2663">
              <w:rPr>
                <w:rFonts w:ascii="Verdana" w:hAnsi="Verdana" w:cs="Microsoft Sans Serif"/>
                <w:bCs/>
                <w:i/>
                <w:iCs/>
                <w:sz w:val="16"/>
                <w:szCs w:val="16"/>
              </w:rPr>
              <w:t>Discuss your interpretation of the pre-validation network adjustments, especially the internal consistency report</w:t>
            </w:r>
          </w:p>
          <w:p w14:paraId="737DABC5" w14:textId="77777777" w:rsidR="00EE7C1D" w:rsidRPr="008F2663" w:rsidRDefault="00EE7C1D" w:rsidP="00F04553">
            <w:pPr>
              <w:spacing w:before="120" w:after="120"/>
              <w:rPr>
                <w:rFonts w:ascii="Verdana" w:hAnsi="Verdana" w:cs="Microsoft Sans Serif"/>
                <w:bCs/>
                <w:i/>
                <w:iCs/>
                <w:sz w:val="16"/>
                <w:szCs w:val="16"/>
              </w:rPr>
            </w:pPr>
            <w:r w:rsidRPr="008F2663">
              <w:rPr>
                <w:rFonts w:ascii="Verdana" w:hAnsi="Verdana" w:cs="Microsoft Sans Serif"/>
                <w:bCs/>
                <w:i/>
                <w:iCs/>
                <w:sz w:val="16"/>
                <w:szCs w:val="16"/>
              </w:rPr>
              <w:t>Failure to address the Landonline pre-validation warnings and conflicts may result in a requisition to clarify the specific issues.</w:t>
            </w:r>
          </w:p>
          <w:p w14:paraId="3733873F" w14:textId="77777777" w:rsidR="00EE7C1D" w:rsidRPr="008F2663" w:rsidRDefault="00EE7C1D" w:rsidP="00F04553">
            <w:pPr>
              <w:spacing w:before="120" w:after="120"/>
              <w:rPr>
                <w:rFonts w:ascii="Verdana" w:hAnsi="Verdana" w:cs="Microsoft Sans Serif"/>
                <w:bCs/>
                <w:i/>
                <w:iCs/>
                <w:sz w:val="16"/>
                <w:szCs w:val="16"/>
              </w:rPr>
            </w:pPr>
            <w:r w:rsidRPr="008F2663">
              <w:rPr>
                <w:rFonts w:ascii="Verdana" w:hAnsi="Verdana" w:cs="Microsoft Sans Serif"/>
                <w:bCs/>
                <w:i/>
                <w:iCs/>
                <w:sz w:val="16"/>
                <w:szCs w:val="16"/>
              </w:rPr>
              <w:t>Include:</w:t>
            </w:r>
          </w:p>
          <w:p w14:paraId="4ED85E44" w14:textId="77777777" w:rsidR="00EE7C1D" w:rsidRPr="008F2663" w:rsidRDefault="00EE7C1D" w:rsidP="00FE6F67">
            <w:pPr>
              <w:numPr>
                <w:ilvl w:val="0"/>
                <w:numId w:val="5"/>
              </w:numPr>
              <w:spacing w:before="120"/>
              <w:ind w:left="307"/>
              <w:rPr>
                <w:rFonts w:ascii="Verdana" w:hAnsi="Verdana" w:cs="Microsoft Sans Serif"/>
                <w:bCs/>
                <w:i/>
                <w:iCs/>
                <w:sz w:val="16"/>
                <w:szCs w:val="16"/>
              </w:rPr>
            </w:pPr>
            <w:r w:rsidRPr="008F2663">
              <w:rPr>
                <w:rFonts w:ascii="Verdana" w:hAnsi="Verdana" w:cs="Microsoft Sans Serif"/>
                <w:bCs/>
                <w:i/>
                <w:iCs/>
                <w:sz w:val="16"/>
                <w:szCs w:val="16"/>
              </w:rPr>
              <w:t>the Landonline rule ID or accuracy report</w:t>
            </w:r>
          </w:p>
          <w:p w14:paraId="5DA5437F" w14:textId="77777777" w:rsidR="00EE7C1D" w:rsidRPr="008F2663" w:rsidRDefault="00EE7C1D" w:rsidP="00FE6F67">
            <w:pPr>
              <w:numPr>
                <w:ilvl w:val="0"/>
                <w:numId w:val="5"/>
              </w:numPr>
              <w:spacing w:before="120"/>
              <w:ind w:left="307"/>
              <w:rPr>
                <w:rFonts w:ascii="Verdana" w:hAnsi="Verdana" w:cs="Microsoft Sans Serif"/>
                <w:bCs/>
                <w:i/>
                <w:iCs/>
                <w:sz w:val="16"/>
                <w:szCs w:val="16"/>
              </w:rPr>
            </w:pPr>
            <w:r w:rsidRPr="008F2663">
              <w:rPr>
                <w:rFonts w:ascii="Verdana" w:hAnsi="Verdana" w:cs="Microsoft Sans Serif"/>
                <w:bCs/>
                <w:i/>
                <w:iCs/>
                <w:sz w:val="16"/>
                <w:szCs w:val="16"/>
              </w:rPr>
              <w:lastRenderedPageBreak/>
              <w:t>your response to address the issue, or</w:t>
            </w:r>
          </w:p>
          <w:p w14:paraId="281B5573" w14:textId="77777777" w:rsidR="00EE7C1D" w:rsidRPr="008F2663" w:rsidRDefault="00EE7C1D" w:rsidP="00FE6F67">
            <w:pPr>
              <w:numPr>
                <w:ilvl w:val="0"/>
                <w:numId w:val="5"/>
              </w:numPr>
              <w:spacing w:before="120"/>
              <w:ind w:left="307"/>
              <w:rPr>
                <w:rFonts w:ascii="Verdana" w:hAnsi="Verdana" w:cs="Microsoft Sans Serif"/>
                <w:bCs/>
                <w:i/>
                <w:sz w:val="16"/>
                <w:szCs w:val="16"/>
              </w:rPr>
            </w:pPr>
            <w:r w:rsidRPr="008F2663">
              <w:rPr>
                <w:rFonts w:ascii="Verdana" w:hAnsi="Verdana" w:cs="Microsoft Sans Serif"/>
                <w:bCs/>
                <w:i/>
                <w:iCs/>
                <w:sz w:val="16"/>
                <w:szCs w:val="16"/>
              </w:rPr>
              <w:t>Your rationale for accepting the conflict.</w:t>
            </w:r>
          </w:p>
          <w:p w14:paraId="3BA9EF59" w14:textId="77777777" w:rsidR="00EE7C1D" w:rsidRPr="008F2663" w:rsidRDefault="00EE7C1D" w:rsidP="00190B7D">
            <w:pPr>
              <w:spacing w:before="120"/>
              <w:ind w:left="23"/>
              <w:rPr>
                <w:rFonts w:ascii="Verdana" w:hAnsi="Verdana" w:cs="Arial"/>
                <w:b/>
                <w:i/>
                <w:sz w:val="16"/>
                <w:szCs w:val="16"/>
                <w:lang w:val="en-NZ"/>
              </w:rPr>
            </w:pPr>
          </w:p>
        </w:tc>
      </w:tr>
      <w:bookmarkEnd w:id="0"/>
    </w:tbl>
    <w:p w14:paraId="32CBFC0D" w14:textId="29AA29B2" w:rsidR="00EE7C1D" w:rsidRDefault="00EE7C1D">
      <w:pPr>
        <w:rPr>
          <w:rFonts w:ascii="Arial" w:hAnsi="Arial" w:cs="Arial"/>
          <w:sz w:val="18"/>
          <w:szCs w:val="18"/>
        </w:rPr>
      </w:pPr>
    </w:p>
    <w:p w14:paraId="000E6B35" w14:textId="4433860D" w:rsidR="0094672B" w:rsidRPr="0094672B" w:rsidRDefault="0094672B" w:rsidP="0094672B">
      <w:pPr>
        <w:rPr>
          <w:rFonts w:ascii="Arial" w:hAnsi="Arial" w:cs="Arial"/>
          <w:sz w:val="18"/>
          <w:szCs w:val="18"/>
        </w:rPr>
      </w:pPr>
    </w:p>
    <w:p w14:paraId="07AA8A9A" w14:textId="3493E9F2" w:rsidR="0094672B" w:rsidRPr="0094672B" w:rsidRDefault="0094672B" w:rsidP="0094672B">
      <w:pPr>
        <w:rPr>
          <w:rFonts w:ascii="Arial" w:hAnsi="Arial" w:cs="Arial"/>
          <w:sz w:val="18"/>
          <w:szCs w:val="18"/>
        </w:rPr>
      </w:pPr>
    </w:p>
    <w:tbl>
      <w:tblPr>
        <w:tblW w:w="1020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3321"/>
        <w:gridCol w:w="6162"/>
      </w:tblGrid>
      <w:tr w:rsidR="00AE112C" w14:paraId="612E93F2" w14:textId="77777777" w:rsidTr="00AE112C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194951" w14:textId="53F7CCA0" w:rsidR="00AE112C" w:rsidRDefault="00AE112C">
            <w:pPr>
              <w:spacing w:before="120" w:after="120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1E74C7" w14:textId="77777777" w:rsidR="00AE112C" w:rsidRDefault="00AE112C">
            <w:pPr>
              <w:spacing w:before="120" w:after="120"/>
              <w:rPr>
                <w:rFonts w:ascii="Verdana" w:hAnsi="Verdana" w:cs="Arial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eastAsia="en-US"/>
              </w:rPr>
              <w:t>Additional Notes: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D3A7" w14:textId="77777777" w:rsidR="00AE112C" w:rsidRDefault="00AE112C">
            <w:pPr>
              <w:spacing w:before="60" w:after="60"/>
              <w:rPr>
                <w:rFonts w:ascii="Verdana" w:hAnsi="Verdana" w:cs="Microsoft Sans Serif"/>
                <w:i/>
                <w:sz w:val="16"/>
                <w:szCs w:val="16"/>
                <w:lang w:val="en-NZ" w:eastAsia="en-US"/>
              </w:rPr>
            </w:pPr>
            <w:r>
              <w:rPr>
                <w:rFonts w:ascii="Verdana" w:hAnsi="Verdana" w:cs="Microsoft Sans Serif"/>
                <w:i/>
                <w:sz w:val="16"/>
                <w:szCs w:val="16"/>
                <w:lang w:val="en-GB" w:eastAsia="en-US"/>
              </w:rPr>
              <w:t>Additional notes not covered elsewhere in this report that may assist validation or other surveyors</w:t>
            </w:r>
            <w:r>
              <w:rPr>
                <w:rFonts w:ascii="Verdana" w:hAnsi="Verdana" w:cs="Microsoft Sans Serif"/>
                <w:i/>
                <w:sz w:val="16"/>
                <w:szCs w:val="16"/>
                <w:lang w:val="en-NZ" w:eastAsia="en-US"/>
              </w:rPr>
              <w:t>.</w:t>
            </w:r>
          </w:p>
        </w:tc>
      </w:tr>
    </w:tbl>
    <w:p w14:paraId="2982C501" w14:textId="18CC73E8" w:rsidR="0094672B" w:rsidRPr="0094672B" w:rsidRDefault="0094672B" w:rsidP="0094672B">
      <w:pPr>
        <w:rPr>
          <w:rFonts w:ascii="Arial" w:hAnsi="Arial" w:cs="Arial"/>
          <w:sz w:val="18"/>
          <w:szCs w:val="18"/>
        </w:rPr>
      </w:pPr>
    </w:p>
    <w:p w14:paraId="76875C20" w14:textId="41E63774" w:rsidR="0094672B" w:rsidRPr="0094672B" w:rsidRDefault="0094672B" w:rsidP="0094672B">
      <w:pPr>
        <w:rPr>
          <w:rFonts w:ascii="Arial" w:hAnsi="Arial" w:cs="Arial"/>
          <w:sz w:val="18"/>
          <w:szCs w:val="18"/>
        </w:rPr>
      </w:pPr>
    </w:p>
    <w:p w14:paraId="37EA327C" w14:textId="2E9F949E" w:rsidR="0094672B" w:rsidRPr="0094672B" w:rsidRDefault="0094672B" w:rsidP="0094672B">
      <w:pPr>
        <w:rPr>
          <w:rFonts w:ascii="Arial" w:hAnsi="Arial" w:cs="Arial"/>
          <w:sz w:val="18"/>
          <w:szCs w:val="18"/>
        </w:rPr>
      </w:pPr>
    </w:p>
    <w:p w14:paraId="3B153582" w14:textId="37B29A56" w:rsidR="0094672B" w:rsidRPr="0094672B" w:rsidRDefault="0094672B" w:rsidP="0094672B">
      <w:pPr>
        <w:rPr>
          <w:rFonts w:ascii="Arial" w:hAnsi="Arial" w:cs="Arial"/>
          <w:sz w:val="18"/>
          <w:szCs w:val="18"/>
        </w:rPr>
      </w:pPr>
    </w:p>
    <w:p w14:paraId="59D7B47A" w14:textId="433380FD" w:rsidR="0094672B" w:rsidRPr="0094672B" w:rsidRDefault="0094672B" w:rsidP="0094672B">
      <w:pPr>
        <w:rPr>
          <w:rFonts w:ascii="Arial" w:hAnsi="Arial" w:cs="Arial"/>
          <w:sz w:val="18"/>
          <w:szCs w:val="18"/>
        </w:rPr>
      </w:pPr>
    </w:p>
    <w:p w14:paraId="29E84D7E" w14:textId="4FF19D9C" w:rsidR="0094672B" w:rsidRPr="0094672B" w:rsidRDefault="0094672B" w:rsidP="0094672B">
      <w:pPr>
        <w:rPr>
          <w:rFonts w:ascii="Arial" w:hAnsi="Arial" w:cs="Arial"/>
          <w:sz w:val="18"/>
          <w:szCs w:val="18"/>
        </w:rPr>
      </w:pPr>
    </w:p>
    <w:p w14:paraId="0338446A" w14:textId="20A548B6" w:rsidR="0094672B" w:rsidRPr="0094672B" w:rsidRDefault="0094672B" w:rsidP="0094672B">
      <w:pPr>
        <w:rPr>
          <w:rFonts w:ascii="Arial" w:hAnsi="Arial" w:cs="Arial"/>
          <w:sz w:val="18"/>
          <w:szCs w:val="18"/>
        </w:rPr>
      </w:pPr>
    </w:p>
    <w:p w14:paraId="7FE33C6B" w14:textId="4B91BE98" w:rsidR="0094672B" w:rsidRPr="0094672B" w:rsidRDefault="0094672B" w:rsidP="0094672B">
      <w:pPr>
        <w:rPr>
          <w:rFonts w:ascii="Arial" w:hAnsi="Arial" w:cs="Arial"/>
          <w:sz w:val="18"/>
          <w:szCs w:val="18"/>
        </w:rPr>
      </w:pPr>
    </w:p>
    <w:p w14:paraId="3149B273" w14:textId="734FA876" w:rsidR="0094672B" w:rsidRPr="0094672B" w:rsidRDefault="0094672B" w:rsidP="0094672B">
      <w:pPr>
        <w:rPr>
          <w:rFonts w:ascii="Arial" w:hAnsi="Arial" w:cs="Arial"/>
          <w:sz w:val="18"/>
          <w:szCs w:val="18"/>
        </w:rPr>
      </w:pPr>
    </w:p>
    <w:p w14:paraId="51FEAA08" w14:textId="31CDD5CA" w:rsidR="0094672B" w:rsidRPr="0094672B" w:rsidRDefault="0094672B" w:rsidP="0094672B">
      <w:pPr>
        <w:rPr>
          <w:rFonts w:ascii="Arial" w:hAnsi="Arial" w:cs="Arial"/>
          <w:sz w:val="18"/>
          <w:szCs w:val="18"/>
        </w:rPr>
      </w:pPr>
    </w:p>
    <w:p w14:paraId="408F7AE7" w14:textId="5B6AC58F" w:rsidR="0094672B" w:rsidRPr="0094672B" w:rsidRDefault="0094672B" w:rsidP="0094672B">
      <w:pPr>
        <w:rPr>
          <w:rFonts w:ascii="Arial" w:hAnsi="Arial" w:cs="Arial"/>
          <w:sz w:val="18"/>
          <w:szCs w:val="18"/>
        </w:rPr>
      </w:pPr>
    </w:p>
    <w:p w14:paraId="2A29F064" w14:textId="25F80652" w:rsidR="0094672B" w:rsidRPr="0094672B" w:rsidRDefault="0094672B" w:rsidP="0094672B">
      <w:pPr>
        <w:rPr>
          <w:rFonts w:ascii="Arial" w:hAnsi="Arial" w:cs="Arial"/>
          <w:sz w:val="18"/>
          <w:szCs w:val="18"/>
        </w:rPr>
      </w:pPr>
    </w:p>
    <w:p w14:paraId="37173109" w14:textId="0FC0F76C" w:rsidR="0094672B" w:rsidRPr="0094672B" w:rsidRDefault="0094672B" w:rsidP="0094672B">
      <w:pPr>
        <w:rPr>
          <w:rFonts w:ascii="Arial" w:hAnsi="Arial" w:cs="Arial"/>
          <w:sz w:val="18"/>
          <w:szCs w:val="18"/>
        </w:rPr>
      </w:pPr>
    </w:p>
    <w:p w14:paraId="78E092D8" w14:textId="5A6E538A" w:rsidR="0094672B" w:rsidRPr="0094672B" w:rsidRDefault="0094672B" w:rsidP="0094672B">
      <w:pPr>
        <w:rPr>
          <w:rFonts w:ascii="Arial" w:hAnsi="Arial" w:cs="Arial"/>
          <w:sz w:val="18"/>
          <w:szCs w:val="18"/>
        </w:rPr>
      </w:pPr>
    </w:p>
    <w:p w14:paraId="5587C4B3" w14:textId="5491F2A0" w:rsidR="0094672B" w:rsidRPr="0094672B" w:rsidRDefault="0094672B" w:rsidP="0094672B">
      <w:pPr>
        <w:rPr>
          <w:rFonts w:ascii="Arial" w:hAnsi="Arial" w:cs="Arial"/>
          <w:sz w:val="18"/>
          <w:szCs w:val="18"/>
        </w:rPr>
      </w:pPr>
    </w:p>
    <w:p w14:paraId="7E15B7AB" w14:textId="22340945" w:rsidR="0094672B" w:rsidRPr="0094672B" w:rsidRDefault="0094672B" w:rsidP="0094672B">
      <w:pPr>
        <w:rPr>
          <w:rFonts w:ascii="Arial" w:hAnsi="Arial" w:cs="Arial"/>
          <w:sz w:val="18"/>
          <w:szCs w:val="18"/>
        </w:rPr>
      </w:pPr>
    </w:p>
    <w:p w14:paraId="41545024" w14:textId="5A935822" w:rsidR="0094672B" w:rsidRPr="0094672B" w:rsidRDefault="0094672B" w:rsidP="0094672B">
      <w:pPr>
        <w:rPr>
          <w:rFonts w:ascii="Arial" w:hAnsi="Arial" w:cs="Arial"/>
          <w:sz w:val="18"/>
          <w:szCs w:val="18"/>
        </w:rPr>
      </w:pPr>
    </w:p>
    <w:p w14:paraId="61A8EF22" w14:textId="28EAE2F0" w:rsidR="0094672B" w:rsidRPr="0094672B" w:rsidRDefault="0094672B" w:rsidP="0094672B">
      <w:pPr>
        <w:rPr>
          <w:rFonts w:ascii="Arial" w:hAnsi="Arial" w:cs="Arial"/>
          <w:sz w:val="18"/>
          <w:szCs w:val="18"/>
        </w:rPr>
      </w:pPr>
    </w:p>
    <w:p w14:paraId="5610E721" w14:textId="617FC3F0" w:rsidR="0094672B" w:rsidRPr="0094672B" w:rsidRDefault="0094672B" w:rsidP="0094672B">
      <w:pPr>
        <w:rPr>
          <w:rFonts w:ascii="Arial" w:hAnsi="Arial" w:cs="Arial"/>
          <w:sz w:val="18"/>
          <w:szCs w:val="18"/>
        </w:rPr>
      </w:pPr>
    </w:p>
    <w:p w14:paraId="7D8CBE0D" w14:textId="1B640032" w:rsidR="0094672B" w:rsidRPr="0094672B" w:rsidRDefault="0094672B" w:rsidP="0094672B">
      <w:pPr>
        <w:rPr>
          <w:rFonts w:ascii="Arial" w:hAnsi="Arial" w:cs="Arial"/>
          <w:sz w:val="18"/>
          <w:szCs w:val="18"/>
        </w:rPr>
      </w:pPr>
    </w:p>
    <w:p w14:paraId="66684139" w14:textId="489B175A" w:rsidR="0094672B" w:rsidRPr="0094672B" w:rsidRDefault="0094672B" w:rsidP="0094672B">
      <w:pPr>
        <w:rPr>
          <w:rFonts w:ascii="Arial" w:hAnsi="Arial" w:cs="Arial"/>
          <w:sz w:val="18"/>
          <w:szCs w:val="18"/>
        </w:rPr>
      </w:pPr>
    </w:p>
    <w:p w14:paraId="00DBA3E7" w14:textId="052B7DFC" w:rsidR="0094672B" w:rsidRPr="0094672B" w:rsidRDefault="0094672B" w:rsidP="0094672B">
      <w:pPr>
        <w:rPr>
          <w:rFonts w:ascii="Arial" w:hAnsi="Arial" w:cs="Arial"/>
          <w:sz w:val="18"/>
          <w:szCs w:val="18"/>
        </w:rPr>
      </w:pPr>
    </w:p>
    <w:p w14:paraId="708CCE57" w14:textId="64D4C1DE" w:rsidR="0094672B" w:rsidRPr="0094672B" w:rsidRDefault="0094672B" w:rsidP="0094672B">
      <w:pPr>
        <w:rPr>
          <w:rFonts w:ascii="Arial" w:hAnsi="Arial" w:cs="Arial"/>
          <w:sz w:val="18"/>
          <w:szCs w:val="18"/>
        </w:rPr>
      </w:pPr>
    </w:p>
    <w:p w14:paraId="511E4F91" w14:textId="12DF596D" w:rsidR="0094672B" w:rsidRDefault="0094672B" w:rsidP="0094672B">
      <w:pPr>
        <w:rPr>
          <w:rFonts w:ascii="Arial" w:hAnsi="Arial" w:cs="Arial"/>
          <w:sz w:val="18"/>
          <w:szCs w:val="18"/>
        </w:rPr>
      </w:pPr>
    </w:p>
    <w:p w14:paraId="1D7665B8" w14:textId="62290362" w:rsidR="0094672B" w:rsidRPr="0094672B" w:rsidRDefault="0094672B" w:rsidP="0094672B">
      <w:pPr>
        <w:rPr>
          <w:rFonts w:ascii="Arial" w:hAnsi="Arial" w:cs="Arial"/>
          <w:sz w:val="18"/>
          <w:szCs w:val="18"/>
        </w:rPr>
      </w:pPr>
    </w:p>
    <w:p w14:paraId="5A73A1A3" w14:textId="77777777" w:rsidR="0094672B" w:rsidRPr="0094672B" w:rsidRDefault="0094672B" w:rsidP="0094672B">
      <w:pPr>
        <w:rPr>
          <w:rFonts w:ascii="Arial" w:hAnsi="Arial" w:cs="Arial"/>
          <w:sz w:val="18"/>
          <w:szCs w:val="18"/>
        </w:rPr>
      </w:pPr>
    </w:p>
    <w:sectPr w:rsidR="0094672B" w:rsidRPr="0094672B" w:rsidSect="00271BF5">
      <w:footerReference w:type="default" r:id="rId11"/>
      <w:pgSz w:w="11907" w:h="16840" w:code="9"/>
      <w:pgMar w:top="1134" w:right="907" w:bottom="799" w:left="79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C260E" w14:textId="77777777" w:rsidR="00C72A4A" w:rsidRDefault="00C72A4A">
      <w:r>
        <w:separator/>
      </w:r>
    </w:p>
  </w:endnote>
  <w:endnote w:type="continuationSeparator" w:id="0">
    <w:p w14:paraId="1ECC4BA1" w14:textId="77777777" w:rsidR="00C72A4A" w:rsidRDefault="00C7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45BF" w14:textId="74A25631" w:rsidR="000C7935" w:rsidRPr="00B64F8A" w:rsidRDefault="0094672B" w:rsidP="00B64F8A">
    <w:pPr>
      <w:pStyle w:val="Header"/>
      <w:tabs>
        <w:tab w:val="clear" w:pos="4320"/>
        <w:tab w:val="left" w:pos="2600"/>
      </w:tabs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fldChar w:fldCharType="begin"/>
    </w:r>
    <w:r>
      <w:rPr>
        <w:rFonts w:ascii="Arial" w:hAnsi="Arial" w:cs="Arial"/>
        <w:snapToGrid w:val="0"/>
        <w:sz w:val="16"/>
        <w:szCs w:val="16"/>
      </w:rPr>
      <w:instrText xml:space="preserve"> FILENAME \* MERGEFORMAT </w:instrText>
    </w:r>
    <w:r>
      <w:rPr>
        <w:rFonts w:ascii="Arial" w:hAnsi="Arial" w:cs="Arial"/>
        <w:snapToGrid w:val="0"/>
        <w:sz w:val="16"/>
        <w:szCs w:val="16"/>
      </w:rPr>
      <w:fldChar w:fldCharType="separate"/>
    </w:r>
    <w:r>
      <w:rPr>
        <w:rFonts w:ascii="Arial" w:hAnsi="Arial" w:cs="Arial"/>
        <w:noProof/>
        <w:snapToGrid w:val="0"/>
        <w:sz w:val="16"/>
        <w:szCs w:val="16"/>
      </w:rPr>
      <w:t>Boundary reinstatement survey report template_v1_april_2021.docx</w:t>
    </w:r>
    <w:r>
      <w:rPr>
        <w:rFonts w:ascii="Arial" w:hAnsi="Arial" w:cs="Arial"/>
        <w:snapToGrid w:val="0"/>
        <w:sz w:val="16"/>
        <w:szCs w:val="16"/>
      </w:rPr>
      <w:fldChar w:fldCharType="end"/>
    </w:r>
    <w:r w:rsidR="000C7935" w:rsidRPr="00B64F8A">
      <w:rPr>
        <w:rFonts w:ascii="Arial" w:hAnsi="Arial" w:cs="Arial"/>
        <w:snapToGrid w:val="0"/>
        <w:sz w:val="16"/>
        <w:szCs w:val="16"/>
      </w:rPr>
      <w:tab/>
    </w:r>
    <w:r w:rsidR="000C7935" w:rsidRPr="00B64F8A">
      <w:rPr>
        <w:rFonts w:ascii="Arial" w:hAnsi="Arial" w:cs="Arial"/>
        <w:sz w:val="16"/>
        <w:szCs w:val="16"/>
      </w:rPr>
      <w:tab/>
    </w:r>
    <w:r w:rsidR="000C7935" w:rsidRPr="00B64F8A">
      <w:rPr>
        <w:rStyle w:val="PageNumber"/>
        <w:rFonts w:ascii="Arial" w:hAnsi="Arial" w:cs="Arial"/>
        <w:sz w:val="16"/>
        <w:szCs w:val="16"/>
      </w:rPr>
      <w:fldChar w:fldCharType="begin"/>
    </w:r>
    <w:r w:rsidR="000C7935" w:rsidRPr="00B64F8A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0C7935" w:rsidRPr="00B64F8A">
      <w:rPr>
        <w:rStyle w:val="PageNumber"/>
        <w:rFonts w:ascii="Arial" w:hAnsi="Arial" w:cs="Arial"/>
        <w:sz w:val="16"/>
        <w:szCs w:val="16"/>
      </w:rPr>
      <w:fldChar w:fldCharType="separate"/>
    </w:r>
    <w:r w:rsidR="00B447E7">
      <w:rPr>
        <w:rStyle w:val="PageNumber"/>
        <w:rFonts w:ascii="Arial" w:hAnsi="Arial" w:cs="Arial"/>
        <w:noProof/>
        <w:sz w:val="16"/>
        <w:szCs w:val="16"/>
      </w:rPr>
      <w:t>7</w:t>
    </w:r>
    <w:r w:rsidR="000C7935" w:rsidRPr="00B64F8A">
      <w:rPr>
        <w:rStyle w:val="PageNumber"/>
        <w:rFonts w:ascii="Arial" w:hAnsi="Arial" w:cs="Arial"/>
        <w:sz w:val="16"/>
        <w:szCs w:val="16"/>
      </w:rPr>
      <w:fldChar w:fldCharType="end"/>
    </w:r>
    <w:r w:rsidR="000C7935" w:rsidRPr="00B64F8A">
      <w:rPr>
        <w:rStyle w:val="PageNumber"/>
        <w:rFonts w:ascii="Arial" w:hAnsi="Arial" w:cs="Arial"/>
        <w:sz w:val="16"/>
        <w:szCs w:val="16"/>
      </w:rPr>
      <w:t xml:space="preserve"> of </w:t>
    </w:r>
    <w:r w:rsidR="000C7935" w:rsidRPr="00B64F8A">
      <w:rPr>
        <w:rStyle w:val="PageNumber"/>
        <w:rFonts w:ascii="Arial" w:hAnsi="Arial" w:cs="Arial"/>
        <w:sz w:val="16"/>
        <w:szCs w:val="16"/>
      </w:rPr>
      <w:fldChar w:fldCharType="begin"/>
    </w:r>
    <w:r w:rsidR="000C7935" w:rsidRPr="00B64F8A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0C7935" w:rsidRPr="00B64F8A">
      <w:rPr>
        <w:rStyle w:val="PageNumber"/>
        <w:rFonts w:ascii="Arial" w:hAnsi="Arial" w:cs="Arial"/>
        <w:sz w:val="16"/>
        <w:szCs w:val="16"/>
      </w:rPr>
      <w:fldChar w:fldCharType="separate"/>
    </w:r>
    <w:r w:rsidR="00B447E7">
      <w:rPr>
        <w:rStyle w:val="PageNumber"/>
        <w:rFonts w:ascii="Arial" w:hAnsi="Arial" w:cs="Arial"/>
        <w:noProof/>
        <w:sz w:val="16"/>
        <w:szCs w:val="16"/>
      </w:rPr>
      <w:t>8</w:t>
    </w:r>
    <w:r w:rsidR="000C7935" w:rsidRPr="00B64F8A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D1DF5" w14:textId="77777777" w:rsidR="00C72A4A" w:rsidRDefault="00C72A4A">
      <w:r>
        <w:separator/>
      </w:r>
    </w:p>
  </w:footnote>
  <w:footnote w:type="continuationSeparator" w:id="0">
    <w:p w14:paraId="69481246" w14:textId="77777777" w:rsidR="00C72A4A" w:rsidRDefault="00C72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2989"/>
    <w:multiLevelType w:val="hybridMultilevel"/>
    <w:tmpl w:val="0366D8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4F680F"/>
    <w:multiLevelType w:val="hybridMultilevel"/>
    <w:tmpl w:val="BE8206DE"/>
    <w:lvl w:ilvl="0" w:tplc="CC7407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C86C8C7C">
      <w:start w:val="1"/>
      <w:numFmt w:val="bullet"/>
      <w:pStyle w:val="BulletText2"/>
      <w:lvlText w:val=""/>
      <w:lvlJc w:val="left"/>
      <w:pPr>
        <w:tabs>
          <w:tab w:val="num" w:pos="1485"/>
        </w:tabs>
        <w:ind w:left="1312" w:hanging="187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BBA77EF"/>
    <w:multiLevelType w:val="hybridMultilevel"/>
    <w:tmpl w:val="0DDC0616"/>
    <w:lvl w:ilvl="0" w:tplc="C7F81FA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FD56EC7"/>
    <w:multiLevelType w:val="hybridMultilevel"/>
    <w:tmpl w:val="3CEA368E"/>
    <w:lvl w:ilvl="0" w:tplc="0409001B">
      <w:start w:val="1"/>
      <w:numFmt w:val="lowerRoman"/>
      <w:lvlText w:val="%1."/>
      <w:lvlJc w:val="right"/>
      <w:pPr>
        <w:tabs>
          <w:tab w:val="num" w:pos="810"/>
        </w:tabs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4" w15:restartNumberingAfterBreak="0">
    <w:nsid w:val="1FE261CE"/>
    <w:multiLevelType w:val="multilevel"/>
    <w:tmpl w:val="CB32BB86"/>
    <w:lvl w:ilvl="0">
      <w:start w:val="1"/>
      <w:numFmt w:val="lowerLetter"/>
      <w:pStyle w:val="Indent1"/>
      <w:lvlText w:val="(%1)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000000"/>
        <w:vertAlign w:val="baseline"/>
      </w:rPr>
    </w:lvl>
    <w:lvl w:ilvl="1">
      <w:start w:val="1"/>
      <w:numFmt w:val="lowerRoman"/>
      <w:pStyle w:val="Indent2"/>
      <w:lvlText w:val="(%2)"/>
      <w:lvlJc w:val="left"/>
      <w:pPr>
        <w:tabs>
          <w:tab w:val="num" w:pos="1985"/>
        </w:tabs>
        <w:ind w:left="1985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000000"/>
        <w:vertAlign w:val="baseline"/>
      </w:rPr>
    </w:lvl>
    <w:lvl w:ilvl="2">
      <w:start w:val="1"/>
      <w:numFmt w:val="upperLetter"/>
      <w:pStyle w:val="Indent3"/>
      <w:lvlText w:val="(%3)"/>
      <w:lvlJc w:val="left"/>
      <w:pPr>
        <w:tabs>
          <w:tab w:val="num" w:pos="2552"/>
        </w:tabs>
        <w:ind w:left="2552" w:hanging="567"/>
      </w:pPr>
      <w:rPr>
        <w:rFonts w:ascii="Verdana" w:hAnsi="Verdana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-271"/>
        </w:tabs>
        <w:ind w:left="-27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27"/>
        </w:tabs>
        <w:ind w:left="-127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"/>
        </w:tabs>
        <w:ind w:left="17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1"/>
        </w:tabs>
        <w:ind w:left="161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"/>
        </w:tabs>
        <w:ind w:left="3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9"/>
        </w:tabs>
        <w:ind w:left="449" w:hanging="1584"/>
      </w:pPr>
      <w:rPr>
        <w:rFonts w:cs="Times New Roman" w:hint="default"/>
      </w:rPr>
    </w:lvl>
  </w:abstractNum>
  <w:abstractNum w:abstractNumId="5" w15:restartNumberingAfterBreak="0">
    <w:nsid w:val="2A5705DB"/>
    <w:multiLevelType w:val="hybridMultilevel"/>
    <w:tmpl w:val="1834C2E6"/>
    <w:lvl w:ilvl="0" w:tplc="87821EBE">
      <w:start w:val="1"/>
      <w:numFmt w:val="lowerRoman"/>
      <w:lvlText w:val="%1)"/>
      <w:lvlJc w:val="left"/>
      <w:pPr>
        <w:tabs>
          <w:tab w:val="num" w:pos="909"/>
        </w:tabs>
        <w:ind w:left="909" w:hanging="72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269"/>
        </w:tabs>
        <w:ind w:left="1269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  <w:rPr>
        <w:rFonts w:cs="Times New Roman"/>
      </w:rPr>
    </w:lvl>
  </w:abstractNum>
  <w:abstractNum w:abstractNumId="6" w15:restartNumberingAfterBreak="0">
    <w:nsid w:val="2B256826"/>
    <w:multiLevelType w:val="multilevel"/>
    <w:tmpl w:val="6E86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7B0F70"/>
    <w:multiLevelType w:val="hybridMultilevel"/>
    <w:tmpl w:val="E0F0E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04661"/>
    <w:multiLevelType w:val="hybridMultilevel"/>
    <w:tmpl w:val="F0188DB2"/>
    <w:lvl w:ilvl="0" w:tplc="87821EBE">
      <w:start w:val="1"/>
      <w:numFmt w:val="lowerRoman"/>
      <w:lvlText w:val="%1)"/>
      <w:lvlJc w:val="left"/>
      <w:pPr>
        <w:tabs>
          <w:tab w:val="num" w:pos="909"/>
        </w:tabs>
        <w:ind w:left="909" w:hanging="720"/>
      </w:pPr>
      <w:rPr>
        <w:rFonts w:cs="Times New Roman" w:hint="default"/>
      </w:rPr>
    </w:lvl>
    <w:lvl w:ilvl="1" w:tplc="1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80D0C"/>
    <w:multiLevelType w:val="hybridMultilevel"/>
    <w:tmpl w:val="19541E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4CE4C31"/>
    <w:multiLevelType w:val="multilevel"/>
    <w:tmpl w:val="1834C2E6"/>
    <w:lvl w:ilvl="0">
      <w:start w:val="1"/>
      <w:numFmt w:val="lowerRoman"/>
      <w:lvlText w:val="%1)"/>
      <w:lvlJc w:val="left"/>
      <w:pPr>
        <w:tabs>
          <w:tab w:val="num" w:pos="909"/>
        </w:tabs>
        <w:ind w:left="909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269"/>
        </w:tabs>
        <w:ind w:left="12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  <w:rPr>
        <w:rFonts w:cs="Times New Roman"/>
      </w:rPr>
    </w:lvl>
  </w:abstractNum>
  <w:abstractNum w:abstractNumId="11" w15:restartNumberingAfterBreak="0">
    <w:nsid w:val="489259EB"/>
    <w:multiLevelType w:val="hybridMultilevel"/>
    <w:tmpl w:val="0B681574"/>
    <w:lvl w:ilvl="0" w:tplc="865CFA70">
      <w:start w:val="2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B5C5343"/>
    <w:multiLevelType w:val="hybridMultilevel"/>
    <w:tmpl w:val="F6548546"/>
    <w:lvl w:ilvl="0" w:tplc="CC740796">
      <w:start w:val="1"/>
      <w:numFmt w:val="bullet"/>
      <w:lvlText w:val=""/>
      <w:lvlJc w:val="left"/>
      <w:pPr>
        <w:tabs>
          <w:tab w:val="num" w:pos="308"/>
        </w:tabs>
        <w:ind w:left="308" w:hanging="28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13" w15:restartNumberingAfterBreak="0">
    <w:nsid w:val="4BC63BAB"/>
    <w:multiLevelType w:val="hybridMultilevel"/>
    <w:tmpl w:val="10107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B4FEA"/>
    <w:multiLevelType w:val="hybridMultilevel"/>
    <w:tmpl w:val="BD32BA96"/>
    <w:lvl w:ilvl="0" w:tplc="AFE8FEF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41D7A"/>
    <w:multiLevelType w:val="hybridMultilevel"/>
    <w:tmpl w:val="444EB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B29D0"/>
    <w:multiLevelType w:val="hybridMultilevel"/>
    <w:tmpl w:val="9348B6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7C2A79"/>
    <w:multiLevelType w:val="hybridMultilevel"/>
    <w:tmpl w:val="0D94557C"/>
    <w:lvl w:ilvl="0" w:tplc="CC7407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C86C8C7C">
      <w:start w:val="1"/>
      <w:numFmt w:val="bullet"/>
      <w:lvlText w:val=""/>
      <w:lvlJc w:val="left"/>
      <w:pPr>
        <w:tabs>
          <w:tab w:val="num" w:pos="1485"/>
        </w:tabs>
        <w:ind w:left="1312" w:hanging="187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C431E9F"/>
    <w:multiLevelType w:val="hybridMultilevel"/>
    <w:tmpl w:val="D5F8488A"/>
    <w:lvl w:ilvl="0" w:tplc="68B68E3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D6D31C6"/>
    <w:multiLevelType w:val="hybridMultilevel"/>
    <w:tmpl w:val="5BE6D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07552"/>
    <w:multiLevelType w:val="hybridMultilevel"/>
    <w:tmpl w:val="3AEE2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2"/>
  </w:num>
  <w:num w:numId="6">
    <w:abstractNumId w:val="2"/>
  </w:num>
  <w:num w:numId="7">
    <w:abstractNumId w:val="9"/>
  </w:num>
  <w:num w:numId="8">
    <w:abstractNumId w:val="5"/>
  </w:num>
  <w:num w:numId="9">
    <w:abstractNumId w:val="20"/>
  </w:num>
  <w:num w:numId="10">
    <w:abstractNumId w:val="7"/>
  </w:num>
  <w:num w:numId="11">
    <w:abstractNumId w:val="15"/>
  </w:num>
  <w:num w:numId="12">
    <w:abstractNumId w:val="1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  <w:num w:numId="16">
    <w:abstractNumId w:val="10"/>
  </w:num>
  <w:num w:numId="17">
    <w:abstractNumId w:val="8"/>
  </w:num>
  <w:num w:numId="18">
    <w:abstractNumId w:val="16"/>
  </w:num>
  <w:num w:numId="19">
    <w:abstractNumId w:val="3"/>
  </w:num>
  <w:num w:numId="20">
    <w:abstractNumId w:val="14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29"/>
    <w:rsid w:val="00000BF7"/>
    <w:rsid w:val="000019DE"/>
    <w:rsid w:val="000130AD"/>
    <w:rsid w:val="0002634C"/>
    <w:rsid w:val="0003097A"/>
    <w:rsid w:val="000333CA"/>
    <w:rsid w:val="00033E6E"/>
    <w:rsid w:val="000350BB"/>
    <w:rsid w:val="00044D96"/>
    <w:rsid w:val="00050A23"/>
    <w:rsid w:val="00053477"/>
    <w:rsid w:val="00053952"/>
    <w:rsid w:val="00057BEE"/>
    <w:rsid w:val="00066FE7"/>
    <w:rsid w:val="00067BE5"/>
    <w:rsid w:val="000757C1"/>
    <w:rsid w:val="000806E8"/>
    <w:rsid w:val="00084E19"/>
    <w:rsid w:val="00092A0C"/>
    <w:rsid w:val="0009727E"/>
    <w:rsid w:val="000A22E6"/>
    <w:rsid w:val="000A23F7"/>
    <w:rsid w:val="000A2416"/>
    <w:rsid w:val="000A49C3"/>
    <w:rsid w:val="000B14C9"/>
    <w:rsid w:val="000B163D"/>
    <w:rsid w:val="000B20C7"/>
    <w:rsid w:val="000B5894"/>
    <w:rsid w:val="000C200B"/>
    <w:rsid w:val="000C361C"/>
    <w:rsid w:val="000C4C59"/>
    <w:rsid w:val="000C7935"/>
    <w:rsid w:val="000C7E46"/>
    <w:rsid w:val="000D273B"/>
    <w:rsid w:val="000D2942"/>
    <w:rsid w:val="000D63CD"/>
    <w:rsid w:val="000F4A21"/>
    <w:rsid w:val="000F6313"/>
    <w:rsid w:val="00101418"/>
    <w:rsid w:val="0010586E"/>
    <w:rsid w:val="00105FD0"/>
    <w:rsid w:val="00107075"/>
    <w:rsid w:val="001202E1"/>
    <w:rsid w:val="0012168A"/>
    <w:rsid w:val="001229B7"/>
    <w:rsid w:val="00122BF3"/>
    <w:rsid w:val="001238F4"/>
    <w:rsid w:val="00130CA2"/>
    <w:rsid w:val="0013223F"/>
    <w:rsid w:val="00133ED4"/>
    <w:rsid w:val="001354AA"/>
    <w:rsid w:val="00137BB4"/>
    <w:rsid w:val="00137C4B"/>
    <w:rsid w:val="0014028E"/>
    <w:rsid w:val="00140EDE"/>
    <w:rsid w:val="00143067"/>
    <w:rsid w:val="001447F4"/>
    <w:rsid w:val="00144C42"/>
    <w:rsid w:val="00151B8A"/>
    <w:rsid w:val="001550E6"/>
    <w:rsid w:val="001562AB"/>
    <w:rsid w:val="00167B65"/>
    <w:rsid w:val="001811C1"/>
    <w:rsid w:val="00184E4A"/>
    <w:rsid w:val="001903D2"/>
    <w:rsid w:val="00190B63"/>
    <w:rsid w:val="00190B7D"/>
    <w:rsid w:val="0019595F"/>
    <w:rsid w:val="0019799A"/>
    <w:rsid w:val="001A0E0E"/>
    <w:rsid w:val="001B1D4B"/>
    <w:rsid w:val="001B51AE"/>
    <w:rsid w:val="001B52F0"/>
    <w:rsid w:val="001B54B5"/>
    <w:rsid w:val="001B6F65"/>
    <w:rsid w:val="001B7E90"/>
    <w:rsid w:val="001C51DF"/>
    <w:rsid w:val="001D2492"/>
    <w:rsid w:val="001D3698"/>
    <w:rsid w:val="001D4181"/>
    <w:rsid w:val="001D4DFD"/>
    <w:rsid w:val="001D5CCA"/>
    <w:rsid w:val="001D625D"/>
    <w:rsid w:val="001E0BD4"/>
    <w:rsid w:val="001E1E84"/>
    <w:rsid w:val="001E2396"/>
    <w:rsid w:val="001E3D49"/>
    <w:rsid w:val="001E7769"/>
    <w:rsid w:val="001F09EE"/>
    <w:rsid w:val="001F0A54"/>
    <w:rsid w:val="001F1C53"/>
    <w:rsid w:val="001F27FC"/>
    <w:rsid w:val="001F2B47"/>
    <w:rsid w:val="0020095D"/>
    <w:rsid w:val="0021398C"/>
    <w:rsid w:val="002267C0"/>
    <w:rsid w:val="002279CD"/>
    <w:rsid w:val="00227DB0"/>
    <w:rsid w:val="00230F6D"/>
    <w:rsid w:val="00236262"/>
    <w:rsid w:val="002421A6"/>
    <w:rsid w:val="00250298"/>
    <w:rsid w:val="00253B4D"/>
    <w:rsid w:val="00262AB8"/>
    <w:rsid w:val="00263E78"/>
    <w:rsid w:val="002659E0"/>
    <w:rsid w:val="002662A4"/>
    <w:rsid w:val="00271BF5"/>
    <w:rsid w:val="002728D4"/>
    <w:rsid w:val="00272E5F"/>
    <w:rsid w:val="00280614"/>
    <w:rsid w:val="00281580"/>
    <w:rsid w:val="00286BC7"/>
    <w:rsid w:val="002920BF"/>
    <w:rsid w:val="00297AC6"/>
    <w:rsid w:val="002A736A"/>
    <w:rsid w:val="002B2A44"/>
    <w:rsid w:val="002B3421"/>
    <w:rsid w:val="002B4BC6"/>
    <w:rsid w:val="002B5473"/>
    <w:rsid w:val="002C13D5"/>
    <w:rsid w:val="002C4826"/>
    <w:rsid w:val="002C7EC8"/>
    <w:rsid w:val="002D1B2D"/>
    <w:rsid w:val="002D1ED5"/>
    <w:rsid w:val="002D3322"/>
    <w:rsid w:val="002D4D8B"/>
    <w:rsid w:val="002E7566"/>
    <w:rsid w:val="00302331"/>
    <w:rsid w:val="0030360E"/>
    <w:rsid w:val="00310FD7"/>
    <w:rsid w:val="00316DCE"/>
    <w:rsid w:val="00320BC9"/>
    <w:rsid w:val="003218CC"/>
    <w:rsid w:val="00323391"/>
    <w:rsid w:val="0033334F"/>
    <w:rsid w:val="003676B6"/>
    <w:rsid w:val="0037103A"/>
    <w:rsid w:val="00373A49"/>
    <w:rsid w:val="00374D2C"/>
    <w:rsid w:val="00376CB6"/>
    <w:rsid w:val="00395174"/>
    <w:rsid w:val="00396E73"/>
    <w:rsid w:val="003A2BD4"/>
    <w:rsid w:val="003A46B1"/>
    <w:rsid w:val="003A5C43"/>
    <w:rsid w:val="003A65F6"/>
    <w:rsid w:val="003B1D94"/>
    <w:rsid w:val="003B7DBF"/>
    <w:rsid w:val="003C0831"/>
    <w:rsid w:val="003C13A5"/>
    <w:rsid w:val="003D0DD1"/>
    <w:rsid w:val="003D107F"/>
    <w:rsid w:val="003D1F6F"/>
    <w:rsid w:val="003D2D38"/>
    <w:rsid w:val="003D4FB5"/>
    <w:rsid w:val="003D532D"/>
    <w:rsid w:val="003D7CD3"/>
    <w:rsid w:val="003E253B"/>
    <w:rsid w:val="003E3F9F"/>
    <w:rsid w:val="003F53B0"/>
    <w:rsid w:val="00411683"/>
    <w:rsid w:val="0042026F"/>
    <w:rsid w:val="004334F2"/>
    <w:rsid w:val="00444E1E"/>
    <w:rsid w:val="004456CE"/>
    <w:rsid w:val="004458D2"/>
    <w:rsid w:val="00446553"/>
    <w:rsid w:val="00453D27"/>
    <w:rsid w:val="00456693"/>
    <w:rsid w:val="004614C0"/>
    <w:rsid w:val="0046248E"/>
    <w:rsid w:val="00464C7D"/>
    <w:rsid w:val="00465863"/>
    <w:rsid w:val="004669C5"/>
    <w:rsid w:val="00471E92"/>
    <w:rsid w:val="004767C2"/>
    <w:rsid w:val="004817ED"/>
    <w:rsid w:val="00485F30"/>
    <w:rsid w:val="00490DA1"/>
    <w:rsid w:val="004910B8"/>
    <w:rsid w:val="0049125B"/>
    <w:rsid w:val="0049764A"/>
    <w:rsid w:val="004A1A9D"/>
    <w:rsid w:val="004B3A9D"/>
    <w:rsid w:val="004B6F8E"/>
    <w:rsid w:val="004D5ABA"/>
    <w:rsid w:val="004E0B2E"/>
    <w:rsid w:val="004E6BF8"/>
    <w:rsid w:val="004F4DA2"/>
    <w:rsid w:val="004F6CA2"/>
    <w:rsid w:val="00502803"/>
    <w:rsid w:val="00507C2C"/>
    <w:rsid w:val="00507D40"/>
    <w:rsid w:val="00520A8E"/>
    <w:rsid w:val="00522AA4"/>
    <w:rsid w:val="00522C44"/>
    <w:rsid w:val="005311D1"/>
    <w:rsid w:val="0053607D"/>
    <w:rsid w:val="00540F33"/>
    <w:rsid w:val="005432A5"/>
    <w:rsid w:val="00543D47"/>
    <w:rsid w:val="0055076E"/>
    <w:rsid w:val="00550C06"/>
    <w:rsid w:val="00551899"/>
    <w:rsid w:val="00553D5D"/>
    <w:rsid w:val="00555348"/>
    <w:rsid w:val="00563844"/>
    <w:rsid w:val="005642E3"/>
    <w:rsid w:val="0056642C"/>
    <w:rsid w:val="00567720"/>
    <w:rsid w:val="00570574"/>
    <w:rsid w:val="00592718"/>
    <w:rsid w:val="005A31D6"/>
    <w:rsid w:val="005B3423"/>
    <w:rsid w:val="005B4683"/>
    <w:rsid w:val="005C6017"/>
    <w:rsid w:val="005C6CC0"/>
    <w:rsid w:val="005D0BBC"/>
    <w:rsid w:val="005D1F01"/>
    <w:rsid w:val="005D401D"/>
    <w:rsid w:val="005D532B"/>
    <w:rsid w:val="005D7184"/>
    <w:rsid w:val="005E262F"/>
    <w:rsid w:val="005E2B77"/>
    <w:rsid w:val="005E4191"/>
    <w:rsid w:val="005E5EB4"/>
    <w:rsid w:val="00600B1F"/>
    <w:rsid w:val="006030B6"/>
    <w:rsid w:val="00604012"/>
    <w:rsid w:val="00604939"/>
    <w:rsid w:val="00616409"/>
    <w:rsid w:val="006202F4"/>
    <w:rsid w:val="0062147F"/>
    <w:rsid w:val="006225F9"/>
    <w:rsid w:val="0062357A"/>
    <w:rsid w:val="0062458C"/>
    <w:rsid w:val="006467F4"/>
    <w:rsid w:val="00647D58"/>
    <w:rsid w:val="00650AA6"/>
    <w:rsid w:val="00650C08"/>
    <w:rsid w:val="006526A3"/>
    <w:rsid w:val="00657337"/>
    <w:rsid w:val="00660DE6"/>
    <w:rsid w:val="0066134F"/>
    <w:rsid w:val="00661962"/>
    <w:rsid w:val="0066263C"/>
    <w:rsid w:val="00666471"/>
    <w:rsid w:val="00675E18"/>
    <w:rsid w:val="006830CA"/>
    <w:rsid w:val="006926EC"/>
    <w:rsid w:val="0069526C"/>
    <w:rsid w:val="00695672"/>
    <w:rsid w:val="006A0CA5"/>
    <w:rsid w:val="006A2379"/>
    <w:rsid w:val="006A3295"/>
    <w:rsid w:val="006A35F5"/>
    <w:rsid w:val="006A4798"/>
    <w:rsid w:val="006A626D"/>
    <w:rsid w:val="006B1E67"/>
    <w:rsid w:val="006B3F8B"/>
    <w:rsid w:val="006B562A"/>
    <w:rsid w:val="006B6331"/>
    <w:rsid w:val="006C5DB2"/>
    <w:rsid w:val="006C6B81"/>
    <w:rsid w:val="006C73B6"/>
    <w:rsid w:val="006D40E9"/>
    <w:rsid w:val="006D4622"/>
    <w:rsid w:val="006D464E"/>
    <w:rsid w:val="006D5D3E"/>
    <w:rsid w:val="006D7E6A"/>
    <w:rsid w:val="006E0628"/>
    <w:rsid w:val="006E5005"/>
    <w:rsid w:val="006E6B16"/>
    <w:rsid w:val="006F0F2B"/>
    <w:rsid w:val="006F4742"/>
    <w:rsid w:val="006F58DE"/>
    <w:rsid w:val="0070664E"/>
    <w:rsid w:val="00707D4F"/>
    <w:rsid w:val="00711F9E"/>
    <w:rsid w:val="00712F94"/>
    <w:rsid w:val="00716A97"/>
    <w:rsid w:val="00720A4B"/>
    <w:rsid w:val="00723473"/>
    <w:rsid w:val="00723C4B"/>
    <w:rsid w:val="007278E7"/>
    <w:rsid w:val="00730B06"/>
    <w:rsid w:val="007334DA"/>
    <w:rsid w:val="007474A9"/>
    <w:rsid w:val="00753A8A"/>
    <w:rsid w:val="00757B87"/>
    <w:rsid w:val="00766F56"/>
    <w:rsid w:val="00780AC8"/>
    <w:rsid w:val="00782715"/>
    <w:rsid w:val="00784C7A"/>
    <w:rsid w:val="00793A9D"/>
    <w:rsid w:val="00797DC9"/>
    <w:rsid w:val="007A2238"/>
    <w:rsid w:val="007A2834"/>
    <w:rsid w:val="007B3DE4"/>
    <w:rsid w:val="007D039D"/>
    <w:rsid w:val="007D0577"/>
    <w:rsid w:val="007D0FB3"/>
    <w:rsid w:val="007D12A2"/>
    <w:rsid w:val="007D3C7A"/>
    <w:rsid w:val="007D5297"/>
    <w:rsid w:val="007D6A62"/>
    <w:rsid w:val="007E051B"/>
    <w:rsid w:val="007E1AE7"/>
    <w:rsid w:val="007E3D6B"/>
    <w:rsid w:val="007F4432"/>
    <w:rsid w:val="0080063E"/>
    <w:rsid w:val="0080433B"/>
    <w:rsid w:val="00804549"/>
    <w:rsid w:val="008065FD"/>
    <w:rsid w:val="00816BFA"/>
    <w:rsid w:val="00830738"/>
    <w:rsid w:val="00836E22"/>
    <w:rsid w:val="0084157E"/>
    <w:rsid w:val="0084335B"/>
    <w:rsid w:val="00843EEB"/>
    <w:rsid w:val="008447B8"/>
    <w:rsid w:val="00846489"/>
    <w:rsid w:val="00851DE3"/>
    <w:rsid w:val="008573C6"/>
    <w:rsid w:val="008600ED"/>
    <w:rsid w:val="00861A75"/>
    <w:rsid w:val="00865634"/>
    <w:rsid w:val="00866C2D"/>
    <w:rsid w:val="00872EC1"/>
    <w:rsid w:val="008815E2"/>
    <w:rsid w:val="0088249B"/>
    <w:rsid w:val="00884012"/>
    <w:rsid w:val="00887354"/>
    <w:rsid w:val="0088776C"/>
    <w:rsid w:val="00891908"/>
    <w:rsid w:val="00892D58"/>
    <w:rsid w:val="008A5D67"/>
    <w:rsid w:val="008B0C54"/>
    <w:rsid w:val="008B463A"/>
    <w:rsid w:val="008B4C38"/>
    <w:rsid w:val="008B4D93"/>
    <w:rsid w:val="008B612A"/>
    <w:rsid w:val="008B65C3"/>
    <w:rsid w:val="008B68FE"/>
    <w:rsid w:val="008B7489"/>
    <w:rsid w:val="008C2471"/>
    <w:rsid w:val="008C5187"/>
    <w:rsid w:val="008D349A"/>
    <w:rsid w:val="008D48CE"/>
    <w:rsid w:val="008E3294"/>
    <w:rsid w:val="008E4647"/>
    <w:rsid w:val="008E498E"/>
    <w:rsid w:val="008F2663"/>
    <w:rsid w:val="008F2CE5"/>
    <w:rsid w:val="0090112A"/>
    <w:rsid w:val="0090233E"/>
    <w:rsid w:val="009033C4"/>
    <w:rsid w:val="00903619"/>
    <w:rsid w:val="00913CF8"/>
    <w:rsid w:val="00914F1E"/>
    <w:rsid w:val="00922F3E"/>
    <w:rsid w:val="009233FA"/>
    <w:rsid w:val="00924707"/>
    <w:rsid w:val="00924821"/>
    <w:rsid w:val="0092573E"/>
    <w:rsid w:val="00930A75"/>
    <w:rsid w:val="009334F5"/>
    <w:rsid w:val="00934D5C"/>
    <w:rsid w:val="00936E8D"/>
    <w:rsid w:val="00937E6F"/>
    <w:rsid w:val="0094672B"/>
    <w:rsid w:val="009501EB"/>
    <w:rsid w:val="00951626"/>
    <w:rsid w:val="00952BB8"/>
    <w:rsid w:val="009551DE"/>
    <w:rsid w:val="00956025"/>
    <w:rsid w:val="009640AD"/>
    <w:rsid w:val="0096703C"/>
    <w:rsid w:val="00971480"/>
    <w:rsid w:val="00972F46"/>
    <w:rsid w:val="00973C5E"/>
    <w:rsid w:val="009744B0"/>
    <w:rsid w:val="009805AA"/>
    <w:rsid w:val="00996A6F"/>
    <w:rsid w:val="009A2269"/>
    <w:rsid w:val="009A2F31"/>
    <w:rsid w:val="009B40B3"/>
    <w:rsid w:val="009B4993"/>
    <w:rsid w:val="009C1E41"/>
    <w:rsid w:val="009C2208"/>
    <w:rsid w:val="009C6B23"/>
    <w:rsid w:val="009D052C"/>
    <w:rsid w:val="009D6E66"/>
    <w:rsid w:val="009E0BA6"/>
    <w:rsid w:val="009E1283"/>
    <w:rsid w:val="009E1C71"/>
    <w:rsid w:val="009E394D"/>
    <w:rsid w:val="009E3CFE"/>
    <w:rsid w:val="009F2C2E"/>
    <w:rsid w:val="00A00C5B"/>
    <w:rsid w:val="00A00EBC"/>
    <w:rsid w:val="00A013DC"/>
    <w:rsid w:val="00A02BE0"/>
    <w:rsid w:val="00A1207F"/>
    <w:rsid w:val="00A13135"/>
    <w:rsid w:val="00A17F9F"/>
    <w:rsid w:val="00A24CF6"/>
    <w:rsid w:val="00A26085"/>
    <w:rsid w:val="00A264E6"/>
    <w:rsid w:val="00A30E64"/>
    <w:rsid w:val="00A35BCA"/>
    <w:rsid w:val="00A40F59"/>
    <w:rsid w:val="00A42BA8"/>
    <w:rsid w:val="00A467E8"/>
    <w:rsid w:val="00A46B88"/>
    <w:rsid w:val="00A512E4"/>
    <w:rsid w:val="00A52C07"/>
    <w:rsid w:val="00A52E8F"/>
    <w:rsid w:val="00A54E5E"/>
    <w:rsid w:val="00A56542"/>
    <w:rsid w:val="00A628FB"/>
    <w:rsid w:val="00A65B05"/>
    <w:rsid w:val="00A710DA"/>
    <w:rsid w:val="00A73A7A"/>
    <w:rsid w:val="00A8055C"/>
    <w:rsid w:val="00A80A4A"/>
    <w:rsid w:val="00A81D7A"/>
    <w:rsid w:val="00A83FAB"/>
    <w:rsid w:val="00A87DA5"/>
    <w:rsid w:val="00A927C4"/>
    <w:rsid w:val="00A94D3E"/>
    <w:rsid w:val="00A972F3"/>
    <w:rsid w:val="00AB1782"/>
    <w:rsid w:val="00AB4822"/>
    <w:rsid w:val="00AC5E02"/>
    <w:rsid w:val="00AC784C"/>
    <w:rsid w:val="00AD3E40"/>
    <w:rsid w:val="00AE112C"/>
    <w:rsid w:val="00AE29EE"/>
    <w:rsid w:val="00AE7CC1"/>
    <w:rsid w:val="00AF1EC3"/>
    <w:rsid w:val="00AF434B"/>
    <w:rsid w:val="00B00E6E"/>
    <w:rsid w:val="00B0568C"/>
    <w:rsid w:val="00B05708"/>
    <w:rsid w:val="00B11D7A"/>
    <w:rsid w:val="00B13D34"/>
    <w:rsid w:val="00B17E9A"/>
    <w:rsid w:val="00B21653"/>
    <w:rsid w:val="00B21B40"/>
    <w:rsid w:val="00B21E38"/>
    <w:rsid w:val="00B25D78"/>
    <w:rsid w:val="00B32109"/>
    <w:rsid w:val="00B3282D"/>
    <w:rsid w:val="00B3322F"/>
    <w:rsid w:val="00B426F1"/>
    <w:rsid w:val="00B447E7"/>
    <w:rsid w:val="00B4525B"/>
    <w:rsid w:val="00B6354C"/>
    <w:rsid w:val="00B64F8A"/>
    <w:rsid w:val="00B70CAF"/>
    <w:rsid w:val="00B7231C"/>
    <w:rsid w:val="00B73CA7"/>
    <w:rsid w:val="00B75078"/>
    <w:rsid w:val="00B755B8"/>
    <w:rsid w:val="00B777FB"/>
    <w:rsid w:val="00B81027"/>
    <w:rsid w:val="00B82D7A"/>
    <w:rsid w:val="00B906A5"/>
    <w:rsid w:val="00B95D98"/>
    <w:rsid w:val="00BA025C"/>
    <w:rsid w:val="00BA686F"/>
    <w:rsid w:val="00BB2430"/>
    <w:rsid w:val="00BB6636"/>
    <w:rsid w:val="00BC0434"/>
    <w:rsid w:val="00BC4556"/>
    <w:rsid w:val="00BC47AA"/>
    <w:rsid w:val="00BD2A68"/>
    <w:rsid w:val="00BD3C71"/>
    <w:rsid w:val="00BD4C5F"/>
    <w:rsid w:val="00BD5C42"/>
    <w:rsid w:val="00BE0156"/>
    <w:rsid w:val="00BE143B"/>
    <w:rsid w:val="00BE3A70"/>
    <w:rsid w:val="00BF0B97"/>
    <w:rsid w:val="00BF33B4"/>
    <w:rsid w:val="00BF38A7"/>
    <w:rsid w:val="00C1102A"/>
    <w:rsid w:val="00C142ED"/>
    <w:rsid w:val="00C35A68"/>
    <w:rsid w:val="00C44A3A"/>
    <w:rsid w:val="00C4736D"/>
    <w:rsid w:val="00C47CCC"/>
    <w:rsid w:val="00C50FFC"/>
    <w:rsid w:val="00C55CB2"/>
    <w:rsid w:val="00C55CDE"/>
    <w:rsid w:val="00C55E7C"/>
    <w:rsid w:val="00C56A7F"/>
    <w:rsid w:val="00C572A9"/>
    <w:rsid w:val="00C574CA"/>
    <w:rsid w:val="00C60415"/>
    <w:rsid w:val="00C6221D"/>
    <w:rsid w:val="00C62CD9"/>
    <w:rsid w:val="00C63438"/>
    <w:rsid w:val="00C712A4"/>
    <w:rsid w:val="00C72A4A"/>
    <w:rsid w:val="00C81377"/>
    <w:rsid w:val="00C86D52"/>
    <w:rsid w:val="00C909FA"/>
    <w:rsid w:val="00C91A82"/>
    <w:rsid w:val="00C95361"/>
    <w:rsid w:val="00CA4460"/>
    <w:rsid w:val="00CB092F"/>
    <w:rsid w:val="00CB2385"/>
    <w:rsid w:val="00CB44DC"/>
    <w:rsid w:val="00CB6EF5"/>
    <w:rsid w:val="00CC03BD"/>
    <w:rsid w:val="00CD19DB"/>
    <w:rsid w:val="00CD1BF8"/>
    <w:rsid w:val="00CD2223"/>
    <w:rsid w:val="00CD54C4"/>
    <w:rsid w:val="00CD5CCA"/>
    <w:rsid w:val="00CE1A0A"/>
    <w:rsid w:val="00CF0C9C"/>
    <w:rsid w:val="00CF6CF4"/>
    <w:rsid w:val="00D06AA4"/>
    <w:rsid w:val="00D06F13"/>
    <w:rsid w:val="00D108EE"/>
    <w:rsid w:val="00D11AFA"/>
    <w:rsid w:val="00D129DC"/>
    <w:rsid w:val="00D12AC6"/>
    <w:rsid w:val="00D14D1E"/>
    <w:rsid w:val="00D25559"/>
    <w:rsid w:val="00D32764"/>
    <w:rsid w:val="00D32EAE"/>
    <w:rsid w:val="00D343F7"/>
    <w:rsid w:val="00D400D9"/>
    <w:rsid w:val="00D43E30"/>
    <w:rsid w:val="00D51710"/>
    <w:rsid w:val="00D55EE0"/>
    <w:rsid w:val="00D560E8"/>
    <w:rsid w:val="00D6158A"/>
    <w:rsid w:val="00D61E56"/>
    <w:rsid w:val="00D62275"/>
    <w:rsid w:val="00D707DB"/>
    <w:rsid w:val="00D72F8D"/>
    <w:rsid w:val="00D74650"/>
    <w:rsid w:val="00D7485B"/>
    <w:rsid w:val="00D7777E"/>
    <w:rsid w:val="00D80ACD"/>
    <w:rsid w:val="00D847BB"/>
    <w:rsid w:val="00D90EF1"/>
    <w:rsid w:val="00D91C42"/>
    <w:rsid w:val="00D93B52"/>
    <w:rsid w:val="00D941C9"/>
    <w:rsid w:val="00D9446C"/>
    <w:rsid w:val="00D960D2"/>
    <w:rsid w:val="00DA1231"/>
    <w:rsid w:val="00DA56A8"/>
    <w:rsid w:val="00DB7E22"/>
    <w:rsid w:val="00DC0718"/>
    <w:rsid w:val="00DC1329"/>
    <w:rsid w:val="00DD1DCE"/>
    <w:rsid w:val="00DD29A4"/>
    <w:rsid w:val="00DD45E7"/>
    <w:rsid w:val="00DE0F8B"/>
    <w:rsid w:val="00DE1DF6"/>
    <w:rsid w:val="00DE65A2"/>
    <w:rsid w:val="00DF6FB6"/>
    <w:rsid w:val="00DF7364"/>
    <w:rsid w:val="00E1361C"/>
    <w:rsid w:val="00E22090"/>
    <w:rsid w:val="00E24D86"/>
    <w:rsid w:val="00E24EEA"/>
    <w:rsid w:val="00E271A1"/>
    <w:rsid w:val="00E54D65"/>
    <w:rsid w:val="00E54F1B"/>
    <w:rsid w:val="00E555B1"/>
    <w:rsid w:val="00E628BB"/>
    <w:rsid w:val="00E653D2"/>
    <w:rsid w:val="00E707FF"/>
    <w:rsid w:val="00E70E01"/>
    <w:rsid w:val="00E728C9"/>
    <w:rsid w:val="00E74CF7"/>
    <w:rsid w:val="00E81ED7"/>
    <w:rsid w:val="00E824CE"/>
    <w:rsid w:val="00E83BC3"/>
    <w:rsid w:val="00E84077"/>
    <w:rsid w:val="00E85B22"/>
    <w:rsid w:val="00E90EB1"/>
    <w:rsid w:val="00E9714E"/>
    <w:rsid w:val="00E9738C"/>
    <w:rsid w:val="00E97C14"/>
    <w:rsid w:val="00EA1D68"/>
    <w:rsid w:val="00EA29B2"/>
    <w:rsid w:val="00EA305B"/>
    <w:rsid w:val="00EA56EA"/>
    <w:rsid w:val="00EB47F8"/>
    <w:rsid w:val="00EC0A20"/>
    <w:rsid w:val="00EC1D63"/>
    <w:rsid w:val="00EC2E07"/>
    <w:rsid w:val="00EC3EB8"/>
    <w:rsid w:val="00EC4F37"/>
    <w:rsid w:val="00EE3458"/>
    <w:rsid w:val="00EE793E"/>
    <w:rsid w:val="00EE7C1D"/>
    <w:rsid w:val="00EF1349"/>
    <w:rsid w:val="00EF57A9"/>
    <w:rsid w:val="00EF7EDF"/>
    <w:rsid w:val="00F03259"/>
    <w:rsid w:val="00F03AA8"/>
    <w:rsid w:val="00F03B01"/>
    <w:rsid w:val="00F04553"/>
    <w:rsid w:val="00F10931"/>
    <w:rsid w:val="00F12F1A"/>
    <w:rsid w:val="00F14127"/>
    <w:rsid w:val="00F15D1F"/>
    <w:rsid w:val="00F235BB"/>
    <w:rsid w:val="00F24146"/>
    <w:rsid w:val="00F27549"/>
    <w:rsid w:val="00F27E91"/>
    <w:rsid w:val="00F30E38"/>
    <w:rsid w:val="00F32B76"/>
    <w:rsid w:val="00F40583"/>
    <w:rsid w:val="00F41918"/>
    <w:rsid w:val="00F47C11"/>
    <w:rsid w:val="00F56649"/>
    <w:rsid w:val="00F56B6D"/>
    <w:rsid w:val="00F64C24"/>
    <w:rsid w:val="00F7233A"/>
    <w:rsid w:val="00F72CFC"/>
    <w:rsid w:val="00F7704E"/>
    <w:rsid w:val="00F810DF"/>
    <w:rsid w:val="00F81F4A"/>
    <w:rsid w:val="00F825EF"/>
    <w:rsid w:val="00F93D5D"/>
    <w:rsid w:val="00F9608F"/>
    <w:rsid w:val="00F96DE4"/>
    <w:rsid w:val="00FA032A"/>
    <w:rsid w:val="00FA5A7B"/>
    <w:rsid w:val="00FB4427"/>
    <w:rsid w:val="00FB5788"/>
    <w:rsid w:val="00FB5DC0"/>
    <w:rsid w:val="00FC61F9"/>
    <w:rsid w:val="00FD6A12"/>
    <w:rsid w:val="00FE017F"/>
    <w:rsid w:val="00FE39D3"/>
    <w:rsid w:val="00FE6F67"/>
    <w:rsid w:val="00FF12ED"/>
    <w:rsid w:val="00FF392C"/>
    <w:rsid w:val="00FF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FEC541"/>
  <w15:docId w15:val="{81077098-D84D-47FA-AEC8-6FEC002A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715"/>
    <w:rPr>
      <w:sz w:val="20"/>
      <w:szCs w:val="20"/>
      <w:lang w:val="en-AU" w:eastAsia="en-N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2F31"/>
    <w:pPr>
      <w:keepNext/>
      <w:spacing w:before="12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1E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2F31"/>
    <w:pPr>
      <w:spacing w:before="6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2F31"/>
    <w:rPr>
      <w:rFonts w:ascii="Cambria" w:hAnsi="Cambria"/>
      <w:b/>
      <w:kern w:val="32"/>
      <w:sz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A2F31"/>
    <w:rPr>
      <w:rFonts w:ascii="Cambria" w:hAnsi="Cambria"/>
      <w:b/>
      <w:i/>
      <w:sz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A2F31"/>
    <w:rPr>
      <w:rFonts w:ascii="Cambria" w:hAnsi="Cambria"/>
      <w:b/>
      <w:sz w:val="26"/>
      <w:lang w:val="en-AU"/>
    </w:rPr>
  </w:style>
  <w:style w:type="paragraph" w:customStyle="1" w:styleId="BulletText2">
    <w:name w:val="Bullet Text 2"/>
    <w:basedOn w:val="Normal"/>
    <w:uiPriority w:val="99"/>
    <w:rsid w:val="009A2F31"/>
    <w:pPr>
      <w:numPr>
        <w:ilvl w:val="1"/>
        <w:numId w:val="2"/>
      </w:numPr>
    </w:pPr>
  </w:style>
  <w:style w:type="character" w:styleId="Hyperlink">
    <w:name w:val="Hyperlink"/>
    <w:basedOn w:val="DefaultParagraphFont"/>
    <w:uiPriority w:val="99"/>
    <w:rsid w:val="009A2F3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A2F3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A2F31"/>
    <w:rPr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A2F31"/>
    <w:rPr>
      <w:sz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9A2F31"/>
    <w:rPr>
      <w:rFonts w:ascii="Tahoma" w:hAnsi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2F31"/>
    <w:rPr>
      <w:rFonts w:ascii="Tahoma" w:hAnsi="Tahoma"/>
      <w:sz w:val="16"/>
      <w:lang w:val="en-AU"/>
    </w:rPr>
  </w:style>
  <w:style w:type="character" w:styleId="FollowedHyperlink">
    <w:name w:val="FollowedHyperlink"/>
    <w:basedOn w:val="DefaultParagraphFont"/>
    <w:uiPriority w:val="99"/>
    <w:rsid w:val="009A2F3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9A2F31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2F31"/>
    <w:rPr>
      <w:sz w:val="20"/>
      <w:lang w:val="en-AU"/>
    </w:rPr>
  </w:style>
  <w:style w:type="paragraph" w:styleId="Footer">
    <w:name w:val="footer"/>
    <w:basedOn w:val="Normal"/>
    <w:link w:val="FooterChar"/>
    <w:uiPriority w:val="99"/>
    <w:rsid w:val="009A2F31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2F31"/>
    <w:rPr>
      <w:sz w:val="20"/>
      <w:lang w:val="en-AU"/>
    </w:rPr>
  </w:style>
  <w:style w:type="character" w:styleId="PageNumber">
    <w:name w:val="page number"/>
    <w:basedOn w:val="DefaultParagraphFont"/>
    <w:uiPriority w:val="99"/>
    <w:rsid w:val="009A2F31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A2F31"/>
    <w:pPr>
      <w:tabs>
        <w:tab w:val="left" w:pos="0"/>
      </w:tabs>
      <w:spacing w:before="120"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2F31"/>
    <w:rPr>
      <w:sz w:val="20"/>
      <w:lang w:val="en-AU"/>
    </w:rPr>
  </w:style>
  <w:style w:type="paragraph" w:styleId="BodyText2">
    <w:name w:val="Body Text 2"/>
    <w:basedOn w:val="Normal"/>
    <w:link w:val="BodyText2Char"/>
    <w:uiPriority w:val="99"/>
    <w:rsid w:val="009A2F31"/>
    <w:pPr>
      <w:spacing w:before="60" w:after="60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A2F31"/>
    <w:rPr>
      <w:sz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A2F31"/>
    <w:rPr>
      <w:b/>
      <w:sz w:val="20"/>
      <w:lang w:val="en-AU"/>
    </w:rPr>
  </w:style>
  <w:style w:type="paragraph" w:customStyle="1" w:styleId="Indent1">
    <w:name w:val="Indent 1"/>
    <w:basedOn w:val="Normal"/>
    <w:uiPriority w:val="99"/>
    <w:rsid w:val="00471E92"/>
    <w:pPr>
      <w:numPr>
        <w:numId w:val="13"/>
      </w:numPr>
      <w:spacing w:before="200" w:after="200"/>
      <w:jc w:val="both"/>
    </w:pPr>
    <w:rPr>
      <w:rFonts w:ascii="Verdana" w:hAnsi="Verdana"/>
      <w:lang w:val="en-NZ" w:eastAsia="en-US"/>
    </w:rPr>
  </w:style>
  <w:style w:type="paragraph" w:customStyle="1" w:styleId="Indent2">
    <w:name w:val="Indent 2"/>
    <w:basedOn w:val="Normal"/>
    <w:uiPriority w:val="99"/>
    <w:rsid w:val="00471E92"/>
    <w:pPr>
      <w:numPr>
        <w:ilvl w:val="1"/>
        <w:numId w:val="13"/>
      </w:numPr>
      <w:tabs>
        <w:tab w:val="left" w:pos="851"/>
      </w:tabs>
      <w:spacing w:before="200" w:after="200"/>
      <w:jc w:val="both"/>
    </w:pPr>
    <w:rPr>
      <w:rFonts w:ascii="Verdana" w:hAnsi="Verdana"/>
      <w:lang w:val="en-NZ" w:eastAsia="en-US"/>
    </w:rPr>
  </w:style>
  <w:style w:type="paragraph" w:customStyle="1" w:styleId="Indent3">
    <w:name w:val="Indent 3"/>
    <w:basedOn w:val="Normal"/>
    <w:uiPriority w:val="99"/>
    <w:rsid w:val="00471E92"/>
    <w:pPr>
      <w:numPr>
        <w:ilvl w:val="2"/>
        <w:numId w:val="13"/>
      </w:numPr>
      <w:spacing w:before="200" w:after="200"/>
      <w:jc w:val="both"/>
    </w:pPr>
    <w:rPr>
      <w:rFonts w:ascii="Verdana" w:hAnsi="Verdana"/>
      <w:lang w:eastAsia="en-US"/>
    </w:rPr>
  </w:style>
  <w:style w:type="character" w:customStyle="1" w:styleId="EmailStyle301">
    <w:name w:val="EmailStyle301"/>
    <w:uiPriority w:val="99"/>
    <w:semiHidden/>
    <w:rsid w:val="00C1102A"/>
    <w:rPr>
      <w:rFonts w:ascii="Verdana" w:hAnsi="Verdana"/>
      <w:color w:val="auto"/>
      <w:sz w:val="20"/>
      <w:u w:val="none"/>
    </w:rPr>
  </w:style>
  <w:style w:type="paragraph" w:styleId="NormalWeb">
    <w:name w:val="Normal (Web)"/>
    <w:basedOn w:val="Normal"/>
    <w:uiPriority w:val="99"/>
    <w:rsid w:val="00C1102A"/>
    <w:pPr>
      <w:spacing w:after="288" w:line="336" w:lineRule="atLeast"/>
    </w:pPr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23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4" w:space="0" w:color="F9FBFB"/>
      </w:divBdr>
      <w:divsChild>
        <w:div w:id="7799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0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90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F9FBFB"/>
      </w:divBdr>
      <w:divsChild>
        <w:div w:id="779909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09906">
                      <w:marLeft w:val="450"/>
                      <w:marRight w:val="1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0989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09902">
                                  <w:marLeft w:val="0"/>
                                  <w:marRight w:val="75"/>
                                  <w:marTop w:val="225"/>
                                  <w:marBottom w:val="150"/>
                                  <w:divBdr>
                                    <w:top w:val="single" w:sz="12" w:space="4" w:color="FFE033"/>
                                    <w:left w:val="single" w:sz="12" w:space="8" w:color="FFE033"/>
                                    <w:bottom w:val="single" w:sz="12" w:space="4" w:color="FFE033"/>
                                    <w:right w:val="single" w:sz="12" w:space="8" w:color="FFE03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90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linz.govt.nz/land/surveying/csd-preparation/landonline-e-survey-pre-validation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inz.govt.nz/kb/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B2582851737C4640BA36565D556ECEA8" version="1.0.0">
  <systemFields>
    <field name="Objective-Id">
      <value order="0">A4238106</value>
    </field>
    <field name="Objective-Title">
      <value order="0">Boundary reinstatement survey report template_v1_may_2021</value>
    </field>
    <field name="Objective-Description">
      <value order="0"/>
    </field>
    <field name="Objective-CreationStamp">
      <value order="0">2020-10-18T21:50:31Z</value>
    </field>
    <field name="Objective-IsApproved">
      <value order="0">false</value>
    </field>
    <field name="Objective-IsPublished">
      <value order="0">true</value>
    </field>
    <field name="Objective-DatePublished">
      <value order="0">2021-05-06T05:27:03Z</value>
    </field>
    <field name="Objective-ModificationStamp">
      <value order="0">2021-05-06T05:27:09Z</value>
    </field>
    <field name="Objective-Owner">
      <value order="0">Lyndon Telfer</value>
    </field>
    <field name="Objective-Path">
      <value order="0">LinZone Global Folder:LinZone File Plan:Cadastral Survey:Standards and Guidelines:Standards:Cadastral Survey Rules 2021:Guidance Material:Boundary Reinstatements</value>
    </field>
    <field name="Objective-Parent">
      <value order="0">Boundary Reinstatements</value>
    </field>
    <field name="Objective-State">
      <value order="0">Published</value>
    </field>
    <field name="Objective-VersionId">
      <value order="0">vA7158322</value>
    </field>
    <field name="Objective-Version">
      <value order="0">8.0</value>
    </field>
    <field name="Objective-VersionNumber">
      <value order="0">8</value>
    </field>
    <field name="Objective-VersionComment">
      <value order="0"/>
    </field>
    <field name="Objective-FileNumber">
      <value order="0">CAS-S15-01-13/786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4DFCE27A-9EC2-4D29-B5AE-CB8F52D427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2296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Report Template Guide</vt:lpstr>
    </vt:vector>
  </TitlesOfParts>
  <Company>Land Information New Zealand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Report Template Guide</dc:title>
  <dc:creator>jlawrence</dc:creator>
  <dc:description>Survey Report Template Guide to support cadastral survey dataset lodgements</dc:description>
  <cp:lastModifiedBy>Mitchell Bidois</cp:lastModifiedBy>
  <cp:revision>2</cp:revision>
  <cp:lastPrinted>2013-11-13T18:43:00Z</cp:lastPrinted>
  <dcterms:created xsi:type="dcterms:W3CDTF">2021-05-06T22:48:00Z</dcterms:created>
  <dcterms:modified xsi:type="dcterms:W3CDTF">2021-05-06T22:48:00Z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A4238106</vt:lpwstr>
  </property>
  <property fmtid="{D5CDD505-2E9C-101B-9397-08002B2CF9AE}" pid="3" name="Objective-Comment">
    <vt:lpwstr/>
  </property>
  <property fmtid="{D5CDD505-2E9C-101B-9397-08002B2CF9AE}" pid="4" name="Objective-IsApproved">
    <vt:bool>false</vt:bool>
  </property>
  <property fmtid="{D5CDD505-2E9C-101B-9397-08002B2CF9AE}" pid="5" name="Objective-IsPublished">
    <vt:bool>true</vt:bool>
  </property>
  <property fmtid="{D5CDD505-2E9C-101B-9397-08002B2CF9AE}" pid="6" name="Objective-Owner">
    <vt:lpwstr>Lyndon Telfer</vt:lpwstr>
  </property>
  <property fmtid="{D5CDD505-2E9C-101B-9397-08002B2CF9AE}" pid="7" name="Objective-Path">
    <vt:lpwstr>LinZone Global Folder:LinZone File Plan:Cadastral Survey:Standards and Guidelines:Standards:Cadastral Survey Rules 2021:Guidance Material:Boundary Reinstatements</vt:lpwstr>
  </property>
  <property fmtid="{D5CDD505-2E9C-101B-9397-08002B2CF9AE}" pid="8" name="Objective-Parent">
    <vt:lpwstr>Boundary Reinstatements</vt:lpwstr>
  </property>
  <property fmtid="{D5CDD505-2E9C-101B-9397-08002B2CF9AE}" pid="9" name="Objective-State">
    <vt:lpwstr>Published</vt:lpwstr>
  </property>
  <property fmtid="{D5CDD505-2E9C-101B-9397-08002B2CF9AE}" pid="10" name="Objective-Title">
    <vt:lpwstr>Boundary reinstatement survey report template_v1_may_2021</vt:lpwstr>
  </property>
  <property fmtid="{D5CDD505-2E9C-101B-9397-08002B2CF9AE}" pid="11" name="Objective-Version">
    <vt:lpwstr>8.0</vt:lpwstr>
  </property>
  <property fmtid="{D5CDD505-2E9C-101B-9397-08002B2CF9AE}" pid="12" name="Objective-VersionComment">
    <vt:lpwstr/>
  </property>
  <property fmtid="{D5CDD505-2E9C-101B-9397-08002B2CF9AE}" pid="13" name="Objective-VersionNumber">
    <vt:r8>8</vt:r8>
  </property>
  <property fmtid="{D5CDD505-2E9C-101B-9397-08002B2CF9AE}" pid="14" name="Objective-FileNumber">
    <vt:lpwstr>CAS-S15-01-13/786</vt:lpwstr>
  </property>
  <property fmtid="{D5CDD505-2E9C-101B-9397-08002B2CF9AE}" pid="15" name="Objective-Classification">
    <vt:lpwstr/>
  </property>
  <property fmtid="{D5CDD505-2E9C-101B-9397-08002B2CF9AE}" pid="16" name="Objective-Caveats">
    <vt:lpwstr/>
  </property>
  <property fmtid="{D5CDD505-2E9C-101B-9397-08002B2CF9AE}" pid="17" name="Objective-Copy To Clipboard [system]">
    <vt:lpwstr>Copy To Clipboard</vt:lpwstr>
  </property>
  <property fmtid="{D5CDD505-2E9C-101B-9397-08002B2CF9AE}" pid="18" name="Objective-Create Hyperlink [system]">
    <vt:lpwstr>Create Hyperlink</vt:lpwstr>
  </property>
  <property fmtid="{D5CDD505-2E9C-101B-9397-08002B2CF9AE}" pid="19" name="Objective-CreationStamp">
    <vt:filetime>2020-10-18T21:50:31Z</vt:filetime>
  </property>
  <property fmtid="{D5CDD505-2E9C-101B-9397-08002B2CF9AE}" pid="20" name="Objective-DatePublished">
    <vt:filetime>2021-05-06T05:27:03Z</vt:filetime>
  </property>
  <property fmtid="{D5CDD505-2E9C-101B-9397-08002B2CF9AE}" pid="21" name="Objective-ModificationStamp">
    <vt:filetime>2021-05-06T05:27:09Z</vt:filetime>
  </property>
  <property fmtid="{D5CDD505-2E9C-101B-9397-08002B2CF9AE}" pid="22" name="Objective-Description">
    <vt:lpwstr/>
  </property>
  <property fmtid="{D5CDD505-2E9C-101B-9397-08002B2CF9AE}" pid="23" name="Objective-VersionId">
    <vt:lpwstr>vA7158322</vt:lpwstr>
  </property>
  <property fmtid="{D5CDD505-2E9C-101B-9397-08002B2CF9AE}" pid="24" name="Objective-Copy To Clipboard">
    <vt:lpwstr>Copy To Clipboard</vt:lpwstr>
  </property>
  <property fmtid="{D5CDD505-2E9C-101B-9397-08002B2CF9AE}" pid="25" name="Objective-Create Hyperlink">
    <vt:lpwstr>Create Hyperlink</vt:lpwstr>
  </property>
  <property fmtid="{D5CDD505-2E9C-101B-9397-08002B2CF9AE}" pid="26" name="Objective-Connect Creator">
    <vt:lpwstr/>
  </property>
</Properties>
</file>