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AA90" w14:textId="77777777" w:rsidR="00081AEA" w:rsidRDefault="00081AEA" w:rsidP="00081AEA">
      <w:pPr>
        <w:pStyle w:val="condnote"/>
        <w:rPr>
          <w:b w:val="0"/>
          <w:sz w:val="22"/>
          <w:highlight w:val="green"/>
          <w:lang w:val="en-US"/>
        </w:rPr>
      </w:pPr>
      <w:bookmarkStart w:id="0" w:name="_GoBack"/>
      <w:bookmarkEnd w:id="0"/>
    </w:p>
    <w:p w14:paraId="6FD2244F" w14:textId="77777777" w:rsidR="00081AEA" w:rsidRPr="00DD74F8" w:rsidRDefault="00081AEA" w:rsidP="00081AEA">
      <w:pPr>
        <w:pBdr>
          <w:top w:val="single" w:sz="4" w:space="8" w:color="auto"/>
          <w:bottom w:val="single" w:sz="4" w:space="8" w:color="auto"/>
        </w:pBdr>
        <w:ind w:left="3402"/>
        <w:jc w:val="center"/>
        <w:rPr>
          <w:rFonts w:cs="Arial"/>
          <w:b/>
        </w:rPr>
      </w:pPr>
      <w:r w:rsidRPr="00DD74F8">
        <w:rPr>
          <w:rFonts w:cs="Arial"/>
          <w:noProof/>
        </w:rPr>
        <w:drawing>
          <wp:anchor distT="0" distB="0" distL="114300" distR="114300" simplePos="0" relativeHeight="251659264" behindDoc="1" locked="0" layoutInCell="1" allowOverlap="1" wp14:anchorId="55DAA08E" wp14:editId="3F4E4206">
            <wp:simplePos x="0" y="0"/>
            <wp:positionH relativeFrom="column">
              <wp:posOffset>-495935</wp:posOffset>
            </wp:positionH>
            <wp:positionV relativeFrom="paragraph">
              <wp:posOffset>114935</wp:posOffset>
            </wp:positionV>
            <wp:extent cx="2921000" cy="436245"/>
            <wp:effectExtent l="0" t="0" r="0" b="0"/>
            <wp:wrapNone/>
            <wp:docPr id="10" name="Picture 10" descr="oio_brand-bar-colour-short_2018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io_brand-bar-colour-short_201805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1000" cy="436245"/>
                    </a:xfrm>
                    <a:prstGeom prst="rect">
                      <a:avLst/>
                    </a:prstGeom>
                    <a:noFill/>
                  </pic:spPr>
                </pic:pic>
              </a:graphicData>
            </a:graphic>
            <wp14:sizeRelH relativeFrom="page">
              <wp14:pctWidth>0</wp14:pctWidth>
            </wp14:sizeRelH>
            <wp14:sizeRelV relativeFrom="page">
              <wp14:pctHeight>0</wp14:pctHeight>
            </wp14:sizeRelV>
          </wp:anchor>
        </w:drawing>
      </w:r>
      <w:r w:rsidRPr="00DD74F8">
        <w:rPr>
          <w:rFonts w:cs="Arial"/>
          <w:b/>
        </w:rPr>
        <w:t>Notice of Decision</w:t>
      </w:r>
    </w:p>
    <w:p w14:paraId="6BC7EE45" w14:textId="77777777" w:rsidR="00081AEA" w:rsidRPr="00DD74F8" w:rsidRDefault="00081AEA" w:rsidP="00081AEA">
      <w:pPr>
        <w:pBdr>
          <w:top w:val="single" w:sz="4" w:space="8" w:color="auto"/>
          <w:bottom w:val="single" w:sz="4" w:space="8" w:color="auto"/>
        </w:pBdr>
        <w:ind w:left="3402"/>
        <w:jc w:val="center"/>
        <w:rPr>
          <w:rFonts w:cs="Arial"/>
        </w:rPr>
      </w:pPr>
      <w:r w:rsidRPr="00DD74F8">
        <w:rPr>
          <w:rFonts w:cs="Arial"/>
          <w:b/>
        </w:rPr>
        <w:t xml:space="preserve">Case: </w:t>
      </w:r>
      <w:r w:rsidRPr="006D7A22">
        <w:rPr>
          <w:rFonts w:cs="Arial"/>
          <w:b/>
        </w:rPr>
        <w:t>201900495</w:t>
      </w:r>
    </w:p>
    <w:p w14:paraId="700CCBC4" w14:textId="77777777" w:rsidR="00081AEA" w:rsidRDefault="00081AEA" w:rsidP="00081AEA">
      <w:pPr>
        <w:pStyle w:val="Heading2-Normalnointent"/>
        <w:numPr>
          <w:ilvl w:val="3"/>
          <w:numId w:val="7"/>
        </w:numPr>
        <w:ind w:left="0" w:hanging="426"/>
        <w:rPr>
          <w:rFonts w:ascii="Arial" w:hAnsi="Arial" w:cs="Arial"/>
          <w:lang w:val="en-NZ"/>
        </w:rPr>
      </w:pPr>
      <w:r>
        <w:rPr>
          <w:rFonts w:ascii="Arial" w:hAnsi="Arial" w:cs="Arial"/>
          <w:lang w:val="en-NZ"/>
        </w:rPr>
        <w:t>Decision Date</w:t>
      </w:r>
    </w:p>
    <w:p w14:paraId="35F22467" w14:textId="77777777" w:rsidR="00081AEA" w:rsidRDefault="00081AEA" w:rsidP="00081AEA">
      <w:pPr>
        <w:tabs>
          <w:tab w:val="num" w:pos="1134"/>
          <w:tab w:val="num" w:pos="1667"/>
        </w:tabs>
        <w:jc w:val="both"/>
        <w:rPr>
          <w:rFonts w:cs="Arial"/>
          <w:szCs w:val="22"/>
          <w:lang w:eastAsia="en-US"/>
        </w:rPr>
      </w:pPr>
      <w:r>
        <w:rPr>
          <w:rFonts w:cs="Arial"/>
          <w:szCs w:val="22"/>
          <w:lang w:eastAsia="en-US"/>
        </w:rPr>
        <w:t>26 February 2020</w:t>
      </w:r>
    </w:p>
    <w:p w14:paraId="256B432F" w14:textId="77777777" w:rsidR="00081AEA" w:rsidRDefault="00081AEA" w:rsidP="00081AEA">
      <w:pPr>
        <w:pStyle w:val="Heading2-Normalnointent"/>
        <w:numPr>
          <w:ilvl w:val="3"/>
          <w:numId w:val="7"/>
        </w:numPr>
        <w:ind w:left="0" w:hanging="426"/>
        <w:rPr>
          <w:rFonts w:ascii="Arial" w:hAnsi="Arial" w:cs="Arial"/>
          <w:lang w:val="en-US"/>
        </w:rPr>
      </w:pPr>
      <w:r>
        <w:rPr>
          <w:rFonts w:ascii="Arial" w:hAnsi="Arial" w:cs="Arial"/>
          <w:lang w:val="en-US"/>
        </w:rPr>
        <w:t>Duration of this Exemption</w:t>
      </w:r>
    </w:p>
    <w:p w14:paraId="1EFD2BA8" w14:textId="77777777" w:rsidR="00081AEA" w:rsidRDefault="00081AEA" w:rsidP="00081AEA">
      <w:pPr>
        <w:tabs>
          <w:tab w:val="num" w:pos="1667"/>
        </w:tabs>
        <w:jc w:val="both"/>
        <w:rPr>
          <w:szCs w:val="22"/>
          <w:lang w:val="en-US" w:eastAsia="en-US"/>
        </w:rPr>
      </w:pPr>
      <w:r>
        <w:rPr>
          <w:szCs w:val="22"/>
          <w:lang w:val="en-US" w:eastAsia="en-US"/>
        </w:rPr>
        <w:t xml:space="preserve">This Exemption comes into force on the Decision Date and expires </w:t>
      </w:r>
      <w:r w:rsidRPr="00D300CD">
        <w:rPr>
          <w:szCs w:val="22"/>
          <w:lang w:val="en-US" w:eastAsia="en-US"/>
        </w:rPr>
        <w:t>on 26 February</w:t>
      </w:r>
      <w:r>
        <w:rPr>
          <w:szCs w:val="22"/>
          <w:lang w:val="en-US" w:eastAsia="en-US"/>
        </w:rPr>
        <w:t xml:space="preserve"> 2021, unless amended or revoked under section 61</w:t>
      </w:r>
      <w:proofErr w:type="gramStart"/>
      <w:r>
        <w:rPr>
          <w:szCs w:val="22"/>
          <w:lang w:val="en-US" w:eastAsia="en-US"/>
        </w:rPr>
        <w:t>F(</w:t>
      </w:r>
      <w:proofErr w:type="gramEnd"/>
      <w:r>
        <w:rPr>
          <w:szCs w:val="22"/>
          <w:lang w:val="en-US" w:eastAsia="en-US"/>
        </w:rPr>
        <w:t xml:space="preserve">4) of the Act. </w:t>
      </w:r>
    </w:p>
    <w:p w14:paraId="71808DBE" w14:textId="77777777" w:rsidR="00081AEA" w:rsidRPr="008A0F1F" w:rsidRDefault="00081AEA" w:rsidP="00081AEA">
      <w:pPr>
        <w:pStyle w:val="Heading2-Normalnointent"/>
        <w:numPr>
          <w:ilvl w:val="3"/>
          <w:numId w:val="7"/>
        </w:numPr>
        <w:ind w:left="0" w:hanging="426"/>
        <w:rPr>
          <w:rFonts w:ascii="Arial" w:hAnsi="Arial" w:cs="Arial"/>
          <w:lang w:val="en-US"/>
        </w:rPr>
      </w:pPr>
      <w:r w:rsidRPr="00DD74F8">
        <w:rPr>
          <w:rFonts w:ascii="Arial" w:hAnsi="Arial" w:cs="Arial"/>
          <w:lang w:val="en-US"/>
        </w:rPr>
        <w:t xml:space="preserve">Exemption from the requirement for consent </w:t>
      </w:r>
      <w:r>
        <w:rPr>
          <w:rFonts w:ascii="Arial" w:hAnsi="Arial" w:cs="Arial"/>
          <w:lang w:val="en-US"/>
        </w:rPr>
        <w:t>under</w:t>
      </w:r>
      <w:r w:rsidRPr="008A0F1F">
        <w:rPr>
          <w:rFonts w:ascii="Arial" w:hAnsi="Arial" w:cs="Arial"/>
          <w:lang w:val="en-US"/>
        </w:rPr>
        <w:t xml:space="preserve"> the Act</w:t>
      </w:r>
    </w:p>
    <w:p w14:paraId="6BCA9753" w14:textId="358995BC" w:rsidR="00081AEA" w:rsidRDefault="00081AEA" w:rsidP="00081AEA">
      <w:pPr>
        <w:numPr>
          <w:ilvl w:val="0"/>
          <w:numId w:val="8"/>
        </w:numPr>
        <w:spacing w:after="120"/>
        <w:ind w:left="567" w:hanging="578"/>
        <w:jc w:val="both"/>
        <w:rPr>
          <w:rFonts w:cs="Arial"/>
          <w:szCs w:val="22"/>
          <w:lang w:val="en-US" w:eastAsia="en-US"/>
        </w:rPr>
      </w:pPr>
      <w:r w:rsidRPr="001D5541">
        <w:rPr>
          <w:rFonts w:cs="Arial"/>
          <w:szCs w:val="22"/>
          <w:lang w:eastAsia="en-US"/>
        </w:rPr>
        <w:t xml:space="preserve">The Exemption Holder is exempt from the requirement under the Act to obtain consent </w:t>
      </w:r>
      <w:r>
        <w:rPr>
          <w:rFonts w:cs="Arial"/>
          <w:szCs w:val="22"/>
          <w:lang w:eastAsia="en-US"/>
        </w:rPr>
        <w:t>to acquire up to</w:t>
      </w:r>
      <w:r w:rsidRPr="001D5541">
        <w:rPr>
          <w:rFonts w:cs="Arial"/>
          <w:szCs w:val="22"/>
          <w:lang w:eastAsia="en-US"/>
        </w:rPr>
        <w:t xml:space="preserve"> 40% of the rights or interests in the shares </w:t>
      </w:r>
      <w:r>
        <w:rPr>
          <w:rFonts w:cs="Arial"/>
          <w:szCs w:val="22"/>
          <w:lang w:eastAsia="en-US"/>
        </w:rPr>
        <w:t>of</w:t>
      </w:r>
      <w:r w:rsidRPr="001D5541">
        <w:rPr>
          <w:rFonts w:cs="Arial"/>
          <w:szCs w:val="22"/>
          <w:lang w:eastAsia="en-US"/>
        </w:rPr>
        <w:t xml:space="preserve"> Aquila Capital</w:t>
      </w:r>
      <w:r>
        <w:rPr>
          <w:rFonts w:cs="Arial"/>
          <w:szCs w:val="22"/>
          <w:lang w:eastAsia="en-US"/>
        </w:rPr>
        <w:t xml:space="preserve"> while this Exemption is in force and </w:t>
      </w:r>
      <w:r>
        <w:rPr>
          <w:rFonts w:cs="Arial"/>
          <w:szCs w:val="22"/>
          <w:lang w:val="en-US" w:eastAsia="en-US"/>
        </w:rPr>
        <w:t>the following are true:</w:t>
      </w:r>
    </w:p>
    <w:p w14:paraId="561C3B2B" w14:textId="77777777" w:rsidR="00081AEA" w:rsidRDefault="00081AEA" w:rsidP="00081AEA">
      <w:pPr>
        <w:numPr>
          <w:ilvl w:val="1"/>
          <w:numId w:val="3"/>
        </w:numPr>
        <w:spacing w:after="120"/>
        <w:ind w:left="1100" w:hanging="500"/>
        <w:jc w:val="both"/>
        <w:rPr>
          <w:rFonts w:cs="Arial"/>
          <w:szCs w:val="22"/>
          <w:lang w:val="en-US" w:eastAsia="en-US"/>
        </w:rPr>
      </w:pPr>
      <w:r>
        <w:rPr>
          <w:rFonts w:cs="Arial"/>
          <w:szCs w:val="22"/>
          <w:lang w:val="en-US" w:eastAsia="en-US"/>
        </w:rPr>
        <w:t xml:space="preserve">the interest held by CTG over the New Zealand Assets is a legal ownership interest only; </w:t>
      </w:r>
    </w:p>
    <w:p w14:paraId="1416CFBE" w14:textId="77777777" w:rsidR="00081AEA" w:rsidRDefault="00081AEA" w:rsidP="00081AEA">
      <w:pPr>
        <w:numPr>
          <w:ilvl w:val="1"/>
          <w:numId w:val="3"/>
        </w:numPr>
        <w:spacing w:after="120"/>
        <w:ind w:left="1100" w:hanging="500"/>
        <w:jc w:val="both"/>
        <w:rPr>
          <w:rFonts w:cs="Arial"/>
          <w:szCs w:val="22"/>
          <w:lang w:val="en-US" w:eastAsia="en-US"/>
        </w:rPr>
      </w:pPr>
      <w:r w:rsidRPr="00755F5B">
        <w:rPr>
          <w:rFonts w:cs="Arial"/>
          <w:szCs w:val="20"/>
          <w:lang w:val="en-US" w:eastAsia="en-US"/>
        </w:rPr>
        <w:t>the</w:t>
      </w:r>
      <w:r>
        <w:rPr>
          <w:rFonts w:cs="Arial"/>
          <w:szCs w:val="20"/>
          <w:lang w:val="en-US" w:eastAsia="en-US"/>
        </w:rPr>
        <w:t xml:space="preserve"> control</w:t>
      </w:r>
      <w:r w:rsidRPr="00755F5B">
        <w:rPr>
          <w:rFonts w:cs="Arial"/>
          <w:szCs w:val="20"/>
          <w:lang w:val="en-US" w:eastAsia="en-US"/>
        </w:rPr>
        <w:t xml:space="preserve"> interest held by Aquila MLP</w:t>
      </w:r>
      <w:r>
        <w:rPr>
          <w:rFonts w:cs="Arial"/>
          <w:szCs w:val="20"/>
          <w:lang w:val="en-US" w:eastAsia="en-US"/>
        </w:rPr>
        <w:t xml:space="preserve"> </w:t>
      </w:r>
      <w:r w:rsidRPr="00755F5B">
        <w:rPr>
          <w:rFonts w:cs="Arial"/>
          <w:szCs w:val="20"/>
          <w:lang w:val="en-US" w:eastAsia="en-US"/>
        </w:rPr>
        <w:t xml:space="preserve">over the New Zealand Assets is </w:t>
      </w:r>
      <w:r>
        <w:rPr>
          <w:rFonts w:cs="Arial"/>
          <w:szCs w:val="20"/>
          <w:lang w:val="en-US" w:eastAsia="en-US"/>
        </w:rPr>
        <w:t xml:space="preserve">held in a management capacity only; </w:t>
      </w:r>
      <w:r>
        <w:rPr>
          <w:rFonts w:cs="Arial"/>
          <w:szCs w:val="22"/>
          <w:lang w:val="en-US" w:eastAsia="en-US"/>
        </w:rPr>
        <w:t>and</w:t>
      </w:r>
    </w:p>
    <w:p w14:paraId="4A2C6DCF" w14:textId="77777777" w:rsidR="00081AEA" w:rsidRPr="005857AF" w:rsidRDefault="00081AEA" w:rsidP="00081AEA">
      <w:pPr>
        <w:numPr>
          <w:ilvl w:val="1"/>
          <w:numId w:val="3"/>
        </w:numPr>
        <w:spacing w:after="120"/>
        <w:ind w:left="1100" w:hanging="500"/>
        <w:jc w:val="both"/>
        <w:rPr>
          <w:rFonts w:cs="Arial"/>
          <w:szCs w:val="22"/>
          <w:lang w:val="en-US" w:eastAsia="en-US"/>
        </w:rPr>
      </w:pPr>
      <w:r>
        <w:rPr>
          <w:rFonts w:cs="Arial"/>
          <w:szCs w:val="22"/>
          <w:lang w:val="en-US" w:eastAsia="en-US"/>
        </w:rPr>
        <w:t>the Exemption Holder has a beneficial ownership interest in the New Zealand Assets that does not exceed 1%.</w:t>
      </w:r>
    </w:p>
    <w:p w14:paraId="257D8A79" w14:textId="77777777" w:rsidR="00081AEA" w:rsidRPr="00921670" w:rsidRDefault="00081AEA" w:rsidP="00081AEA">
      <w:pPr>
        <w:numPr>
          <w:ilvl w:val="0"/>
          <w:numId w:val="8"/>
        </w:numPr>
        <w:spacing w:after="120"/>
        <w:ind w:left="601" w:hanging="499"/>
        <w:jc w:val="both"/>
        <w:rPr>
          <w:rFonts w:cs="Arial"/>
          <w:szCs w:val="22"/>
          <w:lang w:eastAsia="en-US"/>
        </w:rPr>
      </w:pPr>
      <w:r w:rsidRPr="000C0AEA">
        <w:rPr>
          <w:rFonts w:cs="Arial"/>
          <w:szCs w:val="22"/>
          <w:lang w:val="en-US" w:eastAsia="en-US"/>
        </w:rPr>
        <w:t xml:space="preserve">Paragraphs </w:t>
      </w:r>
      <w:r>
        <w:rPr>
          <w:rFonts w:cs="Arial"/>
          <w:szCs w:val="22"/>
          <w:lang w:val="en-US" w:eastAsia="en-US"/>
        </w:rPr>
        <w:t>3</w:t>
      </w:r>
      <w:r w:rsidRPr="000C0AEA">
        <w:rPr>
          <w:rFonts w:cs="Arial"/>
          <w:szCs w:val="22"/>
          <w:lang w:val="en-US" w:eastAsia="en-US"/>
        </w:rPr>
        <w:t>(1)</w:t>
      </w:r>
      <w:r>
        <w:rPr>
          <w:rFonts w:cs="Arial"/>
          <w:szCs w:val="22"/>
          <w:lang w:val="en-US" w:eastAsia="en-US"/>
        </w:rPr>
        <w:t>(a)</w:t>
      </w:r>
      <w:r w:rsidRPr="000C0AEA">
        <w:rPr>
          <w:rFonts w:cs="Arial"/>
          <w:szCs w:val="22"/>
          <w:lang w:val="en-US" w:eastAsia="en-US"/>
        </w:rPr>
        <w:t xml:space="preserve"> and </w:t>
      </w:r>
      <w:r>
        <w:rPr>
          <w:rFonts w:cs="Arial"/>
          <w:szCs w:val="22"/>
          <w:lang w:val="en-US" w:eastAsia="en-US"/>
        </w:rPr>
        <w:t>3</w:t>
      </w:r>
      <w:r w:rsidRPr="000C0AEA">
        <w:rPr>
          <w:rFonts w:cs="Arial"/>
          <w:szCs w:val="22"/>
          <w:lang w:val="en-US" w:eastAsia="en-US"/>
        </w:rPr>
        <w:t>(</w:t>
      </w:r>
      <w:r>
        <w:rPr>
          <w:rFonts w:cs="Arial"/>
          <w:szCs w:val="22"/>
          <w:lang w:val="en-US" w:eastAsia="en-US"/>
        </w:rPr>
        <w:t>1</w:t>
      </w:r>
      <w:r w:rsidRPr="000C0AEA">
        <w:rPr>
          <w:rFonts w:cs="Arial"/>
          <w:szCs w:val="22"/>
          <w:lang w:val="en-US" w:eastAsia="en-US"/>
        </w:rPr>
        <w:t>)</w:t>
      </w:r>
      <w:r>
        <w:rPr>
          <w:rFonts w:cs="Arial"/>
          <w:szCs w:val="22"/>
          <w:lang w:val="en-US" w:eastAsia="en-US"/>
        </w:rPr>
        <w:t>(b)</w:t>
      </w:r>
      <w:r w:rsidRPr="000C0AEA">
        <w:rPr>
          <w:rFonts w:cs="Arial"/>
          <w:szCs w:val="22"/>
          <w:lang w:val="en-US" w:eastAsia="en-US"/>
        </w:rPr>
        <w:t xml:space="preserve"> do not apply to the extent that the Exemption Holder acquires an interest of any kind in the N</w:t>
      </w:r>
      <w:r>
        <w:rPr>
          <w:rFonts w:cs="Arial"/>
          <w:szCs w:val="22"/>
          <w:lang w:val="en-US" w:eastAsia="en-US"/>
        </w:rPr>
        <w:t xml:space="preserve">ew </w:t>
      </w:r>
      <w:r w:rsidRPr="000C0AEA">
        <w:rPr>
          <w:rFonts w:cs="Arial"/>
          <w:szCs w:val="22"/>
          <w:lang w:val="en-US" w:eastAsia="en-US"/>
        </w:rPr>
        <w:t>Z</w:t>
      </w:r>
      <w:r>
        <w:rPr>
          <w:rFonts w:cs="Arial"/>
          <w:szCs w:val="22"/>
          <w:lang w:val="en-US" w:eastAsia="en-US"/>
        </w:rPr>
        <w:t>ealand</w:t>
      </w:r>
      <w:r w:rsidRPr="000C0AEA">
        <w:rPr>
          <w:rFonts w:cs="Arial"/>
          <w:szCs w:val="22"/>
          <w:lang w:val="en-US" w:eastAsia="en-US"/>
        </w:rPr>
        <w:t xml:space="preserve"> Assets in compliance with the requirements of the Act</w:t>
      </w:r>
      <w:r>
        <w:rPr>
          <w:rFonts w:cs="Arial"/>
          <w:szCs w:val="22"/>
          <w:lang w:val="en-US" w:eastAsia="en-US"/>
        </w:rPr>
        <w:t>.</w:t>
      </w:r>
    </w:p>
    <w:p w14:paraId="5C36097D" w14:textId="77777777" w:rsidR="00081AEA" w:rsidRDefault="00081AEA" w:rsidP="00081AEA">
      <w:pPr>
        <w:pStyle w:val="Heading2-Normalnointent"/>
        <w:numPr>
          <w:ilvl w:val="3"/>
          <w:numId w:val="7"/>
        </w:numPr>
        <w:ind w:left="0" w:hanging="426"/>
        <w:rPr>
          <w:rFonts w:ascii="Arial" w:hAnsi="Arial" w:cs="Arial"/>
          <w:lang w:val="en-US"/>
        </w:rPr>
      </w:pPr>
      <w:r w:rsidRPr="006E4E91">
        <w:rPr>
          <w:rFonts w:ascii="Arial" w:hAnsi="Arial" w:cs="Arial"/>
          <w:lang w:val="en-US"/>
        </w:rPr>
        <w:t>Interpretation</w:t>
      </w:r>
      <w:r>
        <w:rPr>
          <w:rFonts w:ascii="Arial" w:hAnsi="Arial" w:cs="Arial"/>
          <w:lang w:val="en-US"/>
        </w:rPr>
        <w:t xml:space="preserve"> </w:t>
      </w:r>
    </w:p>
    <w:p w14:paraId="2016EFD5" w14:textId="77777777" w:rsidR="00081AEA" w:rsidRDefault="00081AEA" w:rsidP="00081AEA">
      <w:pPr>
        <w:keepNext/>
        <w:numPr>
          <w:ilvl w:val="0"/>
          <w:numId w:val="6"/>
        </w:numPr>
        <w:spacing w:after="120"/>
        <w:ind w:left="600" w:hanging="600"/>
        <w:jc w:val="both"/>
        <w:rPr>
          <w:rFonts w:cs="Arial"/>
          <w:szCs w:val="22"/>
          <w:lang w:val="en-US" w:eastAsia="en-US"/>
        </w:rPr>
      </w:pPr>
      <w:r>
        <w:rPr>
          <w:rFonts w:cs="Arial"/>
          <w:szCs w:val="22"/>
          <w:lang w:val="en-US" w:eastAsia="en-US"/>
        </w:rPr>
        <w:t>In this notice, unless the context otherwise requires—</w:t>
      </w:r>
    </w:p>
    <w:tbl>
      <w:tblPr>
        <w:tblStyle w:val="TableGrid"/>
        <w:tblW w:w="8784" w:type="dxa"/>
        <w:tblInd w:w="567" w:type="dxa"/>
        <w:tblLook w:val="04A0" w:firstRow="1" w:lastRow="0" w:firstColumn="1" w:lastColumn="0" w:noHBand="0" w:noVBand="1"/>
      </w:tblPr>
      <w:tblGrid>
        <w:gridCol w:w="2972"/>
        <w:gridCol w:w="5812"/>
      </w:tblGrid>
      <w:tr w:rsidR="00081AEA" w14:paraId="69BBB93F"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2AFB75AD" w14:textId="77777777" w:rsidR="00081AEA" w:rsidRDefault="00081AEA" w:rsidP="00EF4FFA">
            <w:pPr>
              <w:keepLines w:val="0"/>
              <w:spacing w:before="60"/>
              <w:jc w:val="both"/>
              <w:rPr>
                <w:rFonts w:cs="Arial"/>
                <w:b/>
                <w:lang w:val="en-US" w:eastAsia="en-US"/>
              </w:rPr>
            </w:pPr>
            <w:r>
              <w:rPr>
                <w:b/>
              </w:rPr>
              <w:t xml:space="preserve">Act </w:t>
            </w:r>
          </w:p>
        </w:tc>
        <w:tc>
          <w:tcPr>
            <w:tcW w:w="5812" w:type="dxa"/>
            <w:tcBorders>
              <w:top w:val="single" w:sz="4" w:space="0" w:color="auto"/>
              <w:left w:val="single" w:sz="4" w:space="0" w:color="auto"/>
              <w:bottom w:val="single" w:sz="4" w:space="0" w:color="auto"/>
              <w:right w:val="single" w:sz="4" w:space="0" w:color="auto"/>
            </w:tcBorders>
            <w:hideMark/>
          </w:tcPr>
          <w:p w14:paraId="0BDE49A3" w14:textId="77777777" w:rsidR="00081AEA" w:rsidRDefault="00081AEA" w:rsidP="00EF4FFA">
            <w:pPr>
              <w:keepLines w:val="0"/>
              <w:spacing w:before="60"/>
              <w:jc w:val="both"/>
              <w:rPr>
                <w:rFonts w:cs="Arial"/>
                <w:lang w:val="en-US" w:eastAsia="en-US"/>
              </w:rPr>
            </w:pPr>
            <w:r>
              <w:rPr>
                <w:rFonts w:cs="Arial"/>
                <w:szCs w:val="22"/>
                <w:lang w:val="en-US" w:eastAsia="en-US"/>
              </w:rPr>
              <w:t>means the Overseas Investment Act 2005.</w:t>
            </w:r>
          </w:p>
        </w:tc>
      </w:tr>
      <w:tr w:rsidR="00081AEA" w14:paraId="39FA84FB"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61BE8738" w14:textId="77777777" w:rsidR="00081AEA" w:rsidRDefault="00081AEA" w:rsidP="00EF4FFA">
            <w:pPr>
              <w:keepLines w:val="0"/>
              <w:spacing w:before="60"/>
              <w:jc w:val="both"/>
              <w:rPr>
                <w:rFonts w:cs="Arial"/>
                <w:b/>
                <w:lang w:val="en-US" w:eastAsia="en-US"/>
              </w:rPr>
            </w:pPr>
            <w:r>
              <w:rPr>
                <w:b/>
              </w:rPr>
              <w:t xml:space="preserve">Aquila Capital </w:t>
            </w:r>
          </w:p>
        </w:tc>
        <w:tc>
          <w:tcPr>
            <w:tcW w:w="5812" w:type="dxa"/>
            <w:tcBorders>
              <w:top w:val="single" w:sz="4" w:space="0" w:color="auto"/>
              <w:left w:val="single" w:sz="4" w:space="0" w:color="auto"/>
              <w:bottom w:val="single" w:sz="4" w:space="0" w:color="auto"/>
              <w:right w:val="single" w:sz="4" w:space="0" w:color="auto"/>
            </w:tcBorders>
            <w:hideMark/>
          </w:tcPr>
          <w:p w14:paraId="6556474F" w14:textId="77777777" w:rsidR="00081AEA" w:rsidRDefault="00081AEA" w:rsidP="00EF4FFA">
            <w:pPr>
              <w:keepLines w:val="0"/>
              <w:spacing w:before="60"/>
              <w:jc w:val="both"/>
              <w:rPr>
                <w:rFonts w:cs="Arial"/>
                <w:lang w:val="en-US" w:eastAsia="en-US"/>
              </w:rPr>
            </w:pPr>
            <w:r>
              <w:rPr>
                <w:rFonts w:cs="Arial"/>
                <w:szCs w:val="22"/>
                <w:lang w:val="en-US" w:eastAsia="en-US"/>
              </w:rPr>
              <w:t>means Aquila Capital Holding GmbH.</w:t>
            </w:r>
          </w:p>
        </w:tc>
      </w:tr>
      <w:tr w:rsidR="00081AEA" w14:paraId="12E2EED9"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5ACC5E82" w14:textId="77777777" w:rsidR="00081AEA" w:rsidRDefault="00081AEA" w:rsidP="00EF4FFA">
            <w:pPr>
              <w:keepLines w:val="0"/>
              <w:spacing w:before="60"/>
              <w:jc w:val="both"/>
              <w:rPr>
                <w:rFonts w:cs="Arial"/>
                <w:b/>
                <w:lang w:val="en-US" w:eastAsia="en-US"/>
              </w:rPr>
            </w:pPr>
            <w:r>
              <w:rPr>
                <w:b/>
              </w:rPr>
              <w:t xml:space="preserve">Aquila Funds </w:t>
            </w:r>
          </w:p>
        </w:tc>
        <w:tc>
          <w:tcPr>
            <w:tcW w:w="5812" w:type="dxa"/>
            <w:tcBorders>
              <w:top w:val="single" w:sz="4" w:space="0" w:color="auto"/>
              <w:left w:val="single" w:sz="4" w:space="0" w:color="auto"/>
              <w:bottom w:val="single" w:sz="4" w:space="0" w:color="auto"/>
              <w:right w:val="single" w:sz="4" w:space="0" w:color="auto"/>
            </w:tcBorders>
            <w:hideMark/>
          </w:tcPr>
          <w:p w14:paraId="6D528C72" w14:textId="77777777" w:rsidR="00081AEA" w:rsidRDefault="00081AEA" w:rsidP="00EF4FFA">
            <w:pPr>
              <w:keepLines w:val="0"/>
              <w:spacing w:before="60"/>
              <w:jc w:val="both"/>
              <w:rPr>
                <w:rFonts w:cs="Arial"/>
                <w:lang w:val="en-US" w:eastAsia="en-US"/>
              </w:rPr>
            </w:pPr>
            <w:r>
              <w:rPr>
                <w:rFonts w:cs="Arial"/>
                <w:lang w:val="en-US" w:eastAsia="en-US"/>
              </w:rPr>
              <w:t>means the subsidiaries of Aquila Capital that collectively hold interests in New Zealand Assets.</w:t>
            </w:r>
          </w:p>
        </w:tc>
      </w:tr>
      <w:tr w:rsidR="00081AEA" w14:paraId="711E9FF6"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26F1B102" w14:textId="77777777" w:rsidR="00081AEA" w:rsidRDefault="00081AEA" w:rsidP="00EF4FFA">
            <w:pPr>
              <w:keepLines w:val="0"/>
              <w:spacing w:before="60"/>
              <w:jc w:val="both"/>
              <w:rPr>
                <w:b/>
              </w:rPr>
            </w:pPr>
            <w:r>
              <w:rPr>
                <w:b/>
              </w:rPr>
              <w:t>Aquila MLP</w:t>
            </w:r>
          </w:p>
        </w:tc>
        <w:tc>
          <w:tcPr>
            <w:tcW w:w="5812" w:type="dxa"/>
            <w:tcBorders>
              <w:top w:val="single" w:sz="4" w:space="0" w:color="auto"/>
              <w:left w:val="single" w:sz="4" w:space="0" w:color="auto"/>
              <w:bottom w:val="single" w:sz="4" w:space="0" w:color="auto"/>
              <w:right w:val="single" w:sz="4" w:space="0" w:color="auto"/>
            </w:tcBorders>
            <w:hideMark/>
          </w:tcPr>
          <w:p w14:paraId="212059B8" w14:textId="77777777" w:rsidR="00081AEA" w:rsidRDefault="00081AEA" w:rsidP="00EF4FFA">
            <w:pPr>
              <w:keepLines w:val="0"/>
              <w:spacing w:before="60"/>
              <w:jc w:val="both"/>
              <w:rPr>
                <w:rFonts w:cs="Arial"/>
                <w:lang w:val="en-US" w:eastAsia="en-US"/>
              </w:rPr>
            </w:pPr>
            <w:r>
              <w:rPr>
                <w:rFonts w:cs="Arial"/>
                <w:lang w:val="en-US" w:eastAsia="en-US"/>
              </w:rPr>
              <w:t>means</w:t>
            </w:r>
            <w:r>
              <w:rPr>
                <w:lang w:val="en-US"/>
              </w:rPr>
              <w:t xml:space="preserve"> </w:t>
            </w:r>
            <w:r>
              <w:rPr>
                <w:rFonts w:cs="Arial"/>
                <w:lang w:val="en-US" w:eastAsia="en-US"/>
              </w:rPr>
              <w:t>Aquila Capital Real Assets Management GmbH, the managing limited partner of the Aquila Funds.</w:t>
            </w:r>
          </w:p>
        </w:tc>
      </w:tr>
      <w:tr w:rsidR="00081AEA" w14:paraId="1E2FC0C7"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3EEBA271" w14:textId="77777777" w:rsidR="00081AEA" w:rsidRDefault="00081AEA" w:rsidP="00EF4FFA">
            <w:pPr>
              <w:keepLines w:val="0"/>
              <w:spacing w:before="60"/>
              <w:jc w:val="both"/>
              <w:rPr>
                <w:b/>
              </w:rPr>
            </w:pPr>
            <w:r>
              <w:rPr>
                <w:b/>
              </w:rPr>
              <w:t>CTG</w:t>
            </w:r>
          </w:p>
        </w:tc>
        <w:tc>
          <w:tcPr>
            <w:tcW w:w="5812" w:type="dxa"/>
            <w:tcBorders>
              <w:top w:val="single" w:sz="4" w:space="0" w:color="auto"/>
              <w:left w:val="single" w:sz="4" w:space="0" w:color="auto"/>
              <w:bottom w:val="single" w:sz="4" w:space="0" w:color="auto"/>
              <w:right w:val="single" w:sz="4" w:space="0" w:color="auto"/>
            </w:tcBorders>
            <w:hideMark/>
          </w:tcPr>
          <w:p w14:paraId="70C3AF7A" w14:textId="77777777" w:rsidR="00081AEA" w:rsidRDefault="00081AEA" w:rsidP="00EF4FFA">
            <w:pPr>
              <w:keepLines w:val="0"/>
              <w:spacing w:before="60"/>
              <w:jc w:val="both"/>
              <w:rPr>
                <w:rFonts w:cs="Arial"/>
                <w:lang w:val="en-US" w:eastAsia="en-US"/>
              </w:rPr>
            </w:pPr>
            <w:r>
              <w:rPr>
                <w:rFonts w:cs="Arial"/>
                <w:lang w:val="en-US" w:eastAsia="en-US"/>
              </w:rPr>
              <w:t>means Caveras Treuhand GmbH, the trustee entity that holds over 99.9% of the shares in the Aquila Funds on behalf of the Underlying Investors.</w:t>
            </w:r>
          </w:p>
        </w:tc>
      </w:tr>
      <w:tr w:rsidR="00081AEA" w14:paraId="4B30309C" w14:textId="77777777" w:rsidTr="00EF4FFA">
        <w:trPr>
          <w:trHeight w:val="365"/>
        </w:trPr>
        <w:tc>
          <w:tcPr>
            <w:tcW w:w="2972" w:type="dxa"/>
            <w:tcBorders>
              <w:top w:val="single" w:sz="4" w:space="0" w:color="auto"/>
              <w:left w:val="single" w:sz="4" w:space="0" w:color="auto"/>
              <w:bottom w:val="single" w:sz="4" w:space="0" w:color="auto"/>
              <w:right w:val="single" w:sz="4" w:space="0" w:color="auto"/>
            </w:tcBorders>
          </w:tcPr>
          <w:p w14:paraId="290343AC" w14:textId="77777777" w:rsidR="00081AEA" w:rsidRDefault="00081AEA" w:rsidP="00EF4FFA">
            <w:pPr>
              <w:keepLines w:val="0"/>
              <w:spacing w:before="60"/>
              <w:jc w:val="both"/>
              <w:rPr>
                <w:b/>
              </w:rPr>
            </w:pPr>
            <w:r>
              <w:rPr>
                <w:b/>
              </w:rPr>
              <w:t>Decision Date</w:t>
            </w:r>
          </w:p>
        </w:tc>
        <w:tc>
          <w:tcPr>
            <w:tcW w:w="5812" w:type="dxa"/>
            <w:tcBorders>
              <w:top w:val="single" w:sz="4" w:space="0" w:color="auto"/>
              <w:left w:val="single" w:sz="4" w:space="0" w:color="auto"/>
              <w:bottom w:val="single" w:sz="4" w:space="0" w:color="auto"/>
              <w:right w:val="single" w:sz="4" w:space="0" w:color="auto"/>
            </w:tcBorders>
          </w:tcPr>
          <w:p w14:paraId="7D47EBDB" w14:textId="77777777" w:rsidR="00081AEA" w:rsidRDefault="00081AEA" w:rsidP="00EF4FFA">
            <w:pPr>
              <w:keepLines w:val="0"/>
              <w:spacing w:before="60"/>
              <w:rPr>
                <w:rFonts w:cs="Arial"/>
                <w:lang w:val="en-US" w:eastAsia="en-US"/>
              </w:rPr>
            </w:pPr>
            <w:r>
              <w:rPr>
                <w:rFonts w:cs="Arial"/>
                <w:lang w:val="en-US" w:eastAsia="en-US"/>
              </w:rPr>
              <w:t>means the date specified in paragraph 1.</w:t>
            </w:r>
          </w:p>
        </w:tc>
      </w:tr>
      <w:tr w:rsidR="00081AEA" w14:paraId="309D50E5" w14:textId="77777777" w:rsidTr="00EF4FFA">
        <w:trPr>
          <w:trHeight w:val="156"/>
        </w:trPr>
        <w:tc>
          <w:tcPr>
            <w:tcW w:w="2972" w:type="dxa"/>
            <w:tcBorders>
              <w:top w:val="single" w:sz="4" w:space="0" w:color="auto"/>
              <w:left w:val="single" w:sz="4" w:space="0" w:color="auto"/>
              <w:bottom w:val="single" w:sz="4" w:space="0" w:color="auto"/>
              <w:right w:val="single" w:sz="4" w:space="0" w:color="auto"/>
            </w:tcBorders>
            <w:hideMark/>
          </w:tcPr>
          <w:p w14:paraId="12C5BAD9" w14:textId="77777777" w:rsidR="00081AEA" w:rsidRDefault="00081AEA" w:rsidP="00EF4FFA">
            <w:pPr>
              <w:keepLines w:val="0"/>
              <w:spacing w:before="60"/>
              <w:jc w:val="both"/>
              <w:rPr>
                <w:rFonts w:cs="Arial"/>
                <w:b/>
                <w:lang w:val="en-US" w:eastAsia="en-US"/>
              </w:rPr>
            </w:pPr>
            <w:r>
              <w:rPr>
                <w:b/>
              </w:rPr>
              <w:t xml:space="preserve">Exemption </w:t>
            </w:r>
          </w:p>
        </w:tc>
        <w:tc>
          <w:tcPr>
            <w:tcW w:w="5812" w:type="dxa"/>
            <w:tcBorders>
              <w:top w:val="single" w:sz="4" w:space="0" w:color="auto"/>
              <w:left w:val="single" w:sz="4" w:space="0" w:color="auto"/>
              <w:bottom w:val="single" w:sz="4" w:space="0" w:color="auto"/>
              <w:right w:val="single" w:sz="4" w:space="0" w:color="auto"/>
            </w:tcBorders>
            <w:hideMark/>
          </w:tcPr>
          <w:p w14:paraId="469DD912" w14:textId="77777777" w:rsidR="00081AEA" w:rsidRDefault="00081AEA" w:rsidP="00EF4FFA">
            <w:pPr>
              <w:keepLines w:val="0"/>
              <w:spacing w:before="60"/>
              <w:jc w:val="both"/>
              <w:rPr>
                <w:rFonts w:cs="Arial"/>
                <w:lang w:val="en-US" w:eastAsia="en-US"/>
              </w:rPr>
            </w:pPr>
            <w:r>
              <w:rPr>
                <w:rFonts w:cs="Arial"/>
                <w:lang w:val="en-US" w:eastAsia="en-US"/>
              </w:rPr>
              <w:t>means the exemption in paragraph 3(1).</w:t>
            </w:r>
          </w:p>
        </w:tc>
      </w:tr>
      <w:tr w:rsidR="00081AEA" w14:paraId="36B1FDE3"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1E35345D" w14:textId="77777777" w:rsidR="00081AEA" w:rsidRDefault="00081AEA" w:rsidP="00EF4FFA">
            <w:pPr>
              <w:keepLines w:val="0"/>
              <w:spacing w:before="60"/>
              <w:jc w:val="both"/>
              <w:rPr>
                <w:rFonts w:cs="Arial"/>
                <w:b/>
                <w:lang w:val="en-US" w:eastAsia="en-US"/>
              </w:rPr>
            </w:pPr>
            <w:r>
              <w:rPr>
                <w:b/>
              </w:rPr>
              <w:t xml:space="preserve">Exemption Holder </w:t>
            </w:r>
          </w:p>
        </w:tc>
        <w:tc>
          <w:tcPr>
            <w:tcW w:w="5812" w:type="dxa"/>
            <w:tcBorders>
              <w:top w:val="single" w:sz="4" w:space="0" w:color="auto"/>
              <w:left w:val="single" w:sz="4" w:space="0" w:color="auto"/>
              <w:bottom w:val="single" w:sz="4" w:space="0" w:color="auto"/>
              <w:right w:val="single" w:sz="4" w:space="0" w:color="auto"/>
            </w:tcBorders>
            <w:hideMark/>
          </w:tcPr>
          <w:p w14:paraId="7A269F16" w14:textId="77777777" w:rsidR="00081AEA" w:rsidRDefault="00081AEA" w:rsidP="00EF4FFA">
            <w:pPr>
              <w:keepLines w:val="0"/>
              <w:spacing w:before="60"/>
              <w:jc w:val="both"/>
              <w:rPr>
                <w:rFonts w:cs="Arial"/>
                <w:lang w:val="en-US" w:eastAsia="en-US"/>
              </w:rPr>
            </w:pPr>
            <w:r>
              <w:rPr>
                <w:rFonts w:cs="Arial"/>
                <w:lang w:val="en-US" w:eastAsia="en-US"/>
              </w:rPr>
              <w:t>means Daiwa Energy &amp; Infrastructure Co Ltd.</w:t>
            </w:r>
          </w:p>
        </w:tc>
      </w:tr>
      <w:tr w:rsidR="00081AEA" w14:paraId="67E038BC"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6565C0B5" w14:textId="77777777" w:rsidR="00081AEA" w:rsidRDefault="00081AEA" w:rsidP="00EF4FFA">
            <w:pPr>
              <w:keepLines w:val="0"/>
              <w:spacing w:before="60"/>
              <w:jc w:val="both"/>
              <w:rPr>
                <w:rFonts w:cs="Arial"/>
                <w:b/>
                <w:lang w:val="en-US" w:eastAsia="en-US"/>
              </w:rPr>
            </w:pPr>
            <w:r>
              <w:rPr>
                <w:b/>
              </w:rPr>
              <w:t xml:space="preserve">OIO </w:t>
            </w:r>
          </w:p>
        </w:tc>
        <w:tc>
          <w:tcPr>
            <w:tcW w:w="5812" w:type="dxa"/>
            <w:tcBorders>
              <w:top w:val="single" w:sz="4" w:space="0" w:color="auto"/>
              <w:left w:val="single" w:sz="4" w:space="0" w:color="auto"/>
              <w:bottom w:val="single" w:sz="4" w:space="0" w:color="auto"/>
              <w:right w:val="single" w:sz="4" w:space="0" w:color="auto"/>
            </w:tcBorders>
            <w:hideMark/>
          </w:tcPr>
          <w:p w14:paraId="0B9ED864" w14:textId="77777777" w:rsidR="00081AEA" w:rsidRDefault="00081AEA" w:rsidP="00EF4FFA">
            <w:pPr>
              <w:keepLines w:val="0"/>
              <w:spacing w:before="60"/>
              <w:jc w:val="both"/>
              <w:rPr>
                <w:rFonts w:cs="Arial"/>
                <w:lang w:val="en-US" w:eastAsia="en-US"/>
              </w:rPr>
            </w:pPr>
            <w:r>
              <w:rPr>
                <w:rFonts w:cs="Arial"/>
                <w:lang w:val="en-US" w:eastAsia="en-US"/>
              </w:rPr>
              <w:t>means the Overseas Investment Office.</w:t>
            </w:r>
          </w:p>
        </w:tc>
      </w:tr>
      <w:tr w:rsidR="00081AEA" w14:paraId="5CCFC073"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1FED7E48" w14:textId="77777777" w:rsidR="00081AEA" w:rsidRDefault="00081AEA" w:rsidP="00EF4FFA">
            <w:pPr>
              <w:keepLines w:val="0"/>
              <w:tabs>
                <w:tab w:val="left" w:pos="0"/>
                <w:tab w:val="left" w:pos="176"/>
              </w:tabs>
              <w:spacing w:before="60"/>
              <w:ind w:right="452"/>
              <w:jc w:val="both"/>
              <w:rPr>
                <w:rFonts w:cs="Arial"/>
                <w:b/>
                <w:lang w:val="en-US" w:eastAsia="en-US"/>
              </w:rPr>
            </w:pPr>
            <w:r>
              <w:rPr>
                <w:b/>
              </w:rPr>
              <w:t>New Zealand Assets</w:t>
            </w:r>
          </w:p>
        </w:tc>
        <w:tc>
          <w:tcPr>
            <w:tcW w:w="5812" w:type="dxa"/>
            <w:tcBorders>
              <w:top w:val="single" w:sz="4" w:space="0" w:color="auto"/>
              <w:left w:val="single" w:sz="4" w:space="0" w:color="auto"/>
              <w:bottom w:val="single" w:sz="4" w:space="0" w:color="auto"/>
              <w:right w:val="single" w:sz="4" w:space="0" w:color="auto"/>
            </w:tcBorders>
            <w:hideMark/>
          </w:tcPr>
          <w:p w14:paraId="75125EE7" w14:textId="77777777" w:rsidR="00081AEA" w:rsidRDefault="00081AEA" w:rsidP="00EF4FFA">
            <w:pPr>
              <w:keepLines w:val="0"/>
              <w:spacing w:before="60"/>
              <w:jc w:val="both"/>
              <w:rPr>
                <w:rFonts w:cs="Arial"/>
                <w:lang w:val="en-US" w:eastAsia="en-US"/>
              </w:rPr>
            </w:pPr>
            <w:r>
              <w:rPr>
                <w:rFonts w:cs="Arial"/>
                <w:lang w:val="en-US" w:eastAsia="en-US"/>
              </w:rPr>
              <w:t>means the significant business assets (totaling approximately $187,926,986) and the sensitive land interests (being 8 properties totaling approximately 3,744.16 hectares of land) held by the Aquila Funds.</w:t>
            </w:r>
          </w:p>
        </w:tc>
      </w:tr>
      <w:tr w:rsidR="00081AEA" w14:paraId="4BF2C20D"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2916D16C" w14:textId="77777777" w:rsidR="00081AEA" w:rsidRDefault="00081AEA" w:rsidP="00EF4FFA">
            <w:pPr>
              <w:keepLines w:val="0"/>
              <w:tabs>
                <w:tab w:val="left" w:pos="0"/>
                <w:tab w:val="left" w:pos="176"/>
              </w:tabs>
              <w:spacing w:before="60"/>
              <w:ind w:right="452"/>
              <w:jc w:val="both"/>
              <w:rPr>
                <w:b/>
              </w:rPr>
            </w:pPr>
            <w:r>
              <w:rPr>
                <w:b/>
              </w:rPr>
              <w:t xml:space="preserve">Regulations </w:t>
            </w:r>
          </w:p>
        </w:tc>
        <w:tc>
          <w:tcPr>
            <w:tcW w:w="5812" w:type="dxa"/>
            <w:tcBorders>
              <w:top w:val="single" w:sz="4" w:space="0" w:color="auto"/>
              <w:left w:val="single" w:sz="4" w:space="0" w:color="auto"/>
              <w:bottom w:val="single" w:sz="4" w:space="0" w:color="auto"/>
              <w:right w:val="single" w:sz="4" w:space="0" w:color="auto"/>
            </w:tcBorders>
            <w:hideMark/>
          </w:tcPr>
          <w:p w14:paraId="6B6CE74F" w14:textId="77777777" w:rsidR="00081AEA" w:rsidRDefault="00081AEA" w:rsidP="00EF4FFA">
            <w:pPr>
              <w:keepLines w:val="0"/>
              <w:spacing w:before="60"/>
              <w:jc w:val="both"/>
              <w:rPr>
                <w:rFonts w:cs="Arial"/>
                <w:lang w:val="en-US" w:eastAsia="en-US"/>
              </w:rPr>
            </w:pPr>
            <w:r>
              <w:rPr>
                <w:rFonts w:cs="Arial"/>
                <w:lang w:val="en-US" w:eastAsia="en-US"/>
              </w:rPr>
              <w:t>means the Overseas Investment Regulations 2005.</w:t>
            </w:r>
          </w:p>
        </w:tc>
      </w:tr>
      <w:tr w:rsidR="00081AEA" w14:paraId="13AB8769" w14:textId="77777777" w:rsidTr="00EF4FFA">
        <w:tc>
          <w:tcPr>
            <w:tcW w:w="2972" w:type="dxa"/>
            <w:tcBorders>
              <w:top w:val="single" w:sz="4" w:space="0" w:color="auto"/>
              <w:left w:val="single" w:sz="4" w:space="0" w:color="auto"/>
              <w:bottom w:val="single" w:sz="4" w:space="0" w:color="auto"/>
              <w:right w:val="single" w:sz="4" w:space="0" w:color="auto"/>
            </w:tcBorders>
            <w:hideMark/>
          </w:tcPr>
          <w:p w14:paraId="3B0B4C68" w14:textId="77777777" w:rsidR="00081AEA" w:rsidRDefault="00081AEA" w:rsidP="00EF4FFA">
            <w:pPr>
              <w:keepLines w:val="0"/>
              <w:tabs>
                <w:tab w:val="left" w:pos="0"/>
                <w:tab w:val="left" w:pos="176"/>
              </w:tabs>
              <w:spacing w:before="60"/>
              <w:ind w:right="452"/>
              <w:jc w:val="both"/>
              <w:rPr>
                <w:b/>
              </w:rPr>
            </w:pPr>
            <w:r>
              <w:rPr>
                <w:b/>
              </w:rPr>
              <w:t>Underlying Investors</w:t>
            </w:r>
          </w:p>
        </w:tc>
        <w:tc>
          <w:tcPr>
            <w:tcW w:w="5812" w:type="dxa"/>
            <w:tcBorders>
              <w:top w:val="single" w:sz="4" w:space="0" w:color="auto"/>
              <w:left w:val="single" w:sz="4" w:space="0" w:color="auto"/>
              <w:bottom w:val="single" w:sz="4" w:space="0" w:color="auto"/>
              <w:right w:val="single" w:sz="4" w:space="0" w:color="auto"/>
            </w:tcBorders>
            <w:hideMark/>
          </w:tcPr>
          <w:p w14:paraId="3B7F09E6" w14:textId="77777777" w:rsidR="00081AEA" w:rsidRDefault="00081AEA" w:rsidP="00EF4FFA">
            <w:pPr>
              <w:keepLines w:val="0"/>
              <w:spacing w:before="60"/>
              <w:jc w:val="both"/>
              <w:rPr>
                <w:rFonts w:cs="Arial"/>
                <w:lang w:val="en-US" w:eastAsia="en-US"/>
              </w:rPr>
            </w:pPr>
            <w:r>
              <w:rPr>
                <w:rFonts w:cs="Arial"/>
                <w:lang w:val="en-US" w:eastAsia="en-US"/>
              </w:rPr>
              <w:t>means the retail and institutional investors who are the beneficial owners of the shares in the Aquila Funds held by CTG on trust.</w:t>
            </w:r>
          </w:p>
        </w:tc>
      </w:tr>
    </w:tbl>
    <w:p w14:paraId="36768C3B" w14:textId="77777777" w:rsidR="00081AEA" w:rsidRDefault="00081AEA" w:rsidP="00081AEA">
      <w:pPr>
        <w:keepLines w:val="0"/>
        <w:spacing w:before="60"/>
        <w:ind w:left="567"/>
        <w:jc w:val="both"/>
        <w:rPr>
          <w:rFonts w:cs="Arial"/>
          <w:lang w:val="en-US" w:eastAsia="en-US"/>
        </w:rPr>
      </w:pPr>
    </w:p>
    <w:p w14:paraId="7CEE790A" w14:textId="77777777" w:rsidR="00081AEA" w:rsidRDefault="00081AEA" w:rsidP="00081AEA">
      <w:pPr>
        <w:keepNext/>
        <w:numPr>
          <w:ilvl w:val="0"/>
          <w:numId w:val="6"/>
        </w:numPr>
        <w:spacing w:after="120"/>
        <w:ind w:left="567" w:hanging="567"/>
        <w:jc w:val="both"/>
        <w:rPr>
          <w:rFonts w:cs="Arial"/>
          <w:szCs w:val="22"/>
          <w:lang w:val="en-US" w:eastAsia="en-US"/>
        </w:rPr>
      </w:pPr>
      <w:r>
        <w:rPr>
          <w:rFonts w:cs="Arial"/>
          <w:szCs w:val="22"/>
          <w:lang w:val="en-US" w:eastAsia="en-US"/>
        </w:rPr>
        <w:lastRenderedPageBreak/>
        <w:t>Any term or expression that is defined in the Act or the Regulations and used, but not defined, in this Exemption has the same meaning as in the Act or the Regulations (as the case may be).</w:t>
      </w:r>
    </w:p>
    <w:p w14:paraId="0264785C" w14:textId="634AD962" w:rsidR="00081AEA" w:rsidRPr="008A0F1F" w:rsidRDefault="00081AEA" w:rsidP="00081AEA">
      <w:pPr>
        <w:pStyle w:val="Heading2-Normalnointent"/>
        <w:numPr>
          <w:ilvl w:val="3"/>
          <w:numId w:val="7"/>
        </w:numPr>
        <w:ind w:left="0" w:hanging="426"/>
        <w:rPr>
          <w:rFonts w:ascii="Arial" w:hAnsi="Arial" w:cs="Arial"/>
          <w:lang w:val="en-US"/>
        </w:rPr>
      </w:pPr>
      <w:r w:rsidRPr="006E4E91">
        <w:rPr>
          <w:rFonts w:ascii="Arial" w:hAnsi="Arial" w:cs="Arial"/>
          <w:lang w:val="en-US"/>
        </w:rPr>
        <w:t>Reporting</w:t>
      </w:r>
      <w:r>
        <w:rPr>
          <w:rFonts w:ascii="Arial" w:hAnsi="Arial" w:cs="Arial"/>
          <w:lang w:val="en-US"/>
        </w:rPr>
        <w:t xml:space="preserve"> </w:t>
      </w:r>
      <w:r w:rsidRPr="00750790">
        <w:rPr>
          <w:rFonts w:ascii="Arial" w:hAnsi="Arial" w:cs="Arial"/>
          <w:lang w:val="en-NZ"/>
        </w:rPr>
        <w:t>under</w:t>
      </w:r>
      <w:r>
        <w:rPr>
          <w:rFonts w:ascii="Arial" w:hAnsi="Arial" w:cs="Arial"/>
          <w:lang w:val="en-US"/>
        </w:rPr>
        <w:t xml:space="preserve"> </w:t>
      </w:r>
      <w:r w:rsidRPr="008A0F1F">
        <w:rPr>
          <w:rFonts w:ascii="Arial" w:hAnsi="Arial" w:cs="Arial"/>
          <w:lang w:val="en-US"/>
        </w:rPr>
        <w:t>th</w:t>
      </w:r>
      <w:r>
        <w:rPr>
          <w:rFonts w:ascii="Arial" w:hAnsi="Arial" w:cs="Arial"/>
          <w:lang w:val="en-US"/>
        </w:rPr>
        <w:t>is</w:t>
      </w:r>
      <w:r w:rsidRPr="008A0F1F">
        <w:rPr>
          <w:rFonts w:ascii="Arial" w:hAnsi="Arial" w:cs="Arial"/>
          <w:lang w:val="en-US"/>
        </w:rPr>
        <w:t xml:space="preserve"> Exemption</w:t>
      </w:r>
    </w:p>
    <w:p w14:paraId="636A1738" w14:textId="49826AE1" w:rsidR="00081AEA" w:rsidRPr="007A2F9A" w:rsidRDefault="00081AEA" w:rsidP="00081AEA">
      <w:pPr>
        <w:pStyle w:val="ListParagraph"/>
        <w:numPr>
          <w:ilvl w:val="0"/>
          <w:numId w:val="9"/>
        </w:numPr>
        <w:spacing w:after="120"/>
        <w:ind w:left="567" w:hanging="567"/>
        <w:jc w:val="both"/>
        <w:rPr>
          <w:rFonts w:cs="Arial"/>
          <w:szCs w:val="22"/>
          <w:lang w:val="en-US" w:eastAsia="en-US"/>
        </w:rPr>
      </w:pPr>
      <w:r w:rsidRPr="008A0F1F">
        <w:rPr>
          <w:rFonts w:cs="Arial"/>
          <w:szCs w:val="22"/>
          <w:lang w:val="en-US" w:eastAsia="en-US"/>
        </w:rPr>
        <w:t xml:space="preserve">The Exemption Holder must notify the OIO in writing as soon as practicable, and no later than </w:t>
      </w:r>
      <w:r w:rsidRPr="00E260BC">
        <w:rPr>
          <w:rFonts w:cs="Arial"/>
          <w:szCs w:val="22"/>
          <w:lang w:eastAsia="en-US"/>
        </w:rPr>
        <w:t>twelve</w:t>
      </w:r>
      <w:r w:rsidRPr="008A0F1F">
        <w:rPr>
          <w:rFonts w:cs="Arial"/>
          <w:szCs w:val="22"/>
          <w:lang w:val="en-US" w:eastAsia="en-US"/>
        </w:rPr>
        <w:t xml:space="preserve"> months from the date of the Exemption, </w:t>
      </w:r>
      <w:r w:rsidRPr="007A2F9A">
        <w:rPr>
          <w:rFonts w:cs="Arial"/>
          <w:szCs w:val="22"/>
          <w:lang w:val="en-US" w:eastAsia="en-US"/>
        </w:rPr>
        <w:t xml:space="preserve">whether the transaction in paragraph </w:t>
      </w:r>
      <w:r>
        <w:rPr>
          <w:rFonts w:cs="Arial"/>
          <w:szCs w:val="22"/>
          <w:lang w:val="en-US" w:eastAsia="en-US"/>
        </w:rPr>
        <w:t>3</w:t>
      </w:r>
      <w:r w:rsidRPr="007A2F9A">
        <w:rPr>
          <w:rFonts w:cs="Arial"/>
          <w:szCs w:val="22"/>
          <w:lang w:val="en-US" w:eastAsia="en-US"/>
        </w:rPr>
        <w:t>(1) took place.  If the transaction did take place, the notice must include:</w:t>
      </w:r>
    </w:p>
    <w:p w14:paraId="7809A937" w14:textId="77777777" w:rsidR="00081AEA" w:rsidRPr="007A2F9A" w:rsidRDefault="00081AEA" w:rsidP="00081AEA">
      <w:pPr>
        <w:numPr>
          <w:ilvl w:val="0"/>
          <w:numId w:val="10"/>
        </w:numPr>
        <w:spacing w:after="120"/>
        <w:ind w:left="1134" w:hanging="567"/>
        <w:jc w:val="both"/>
        <w:rPr>
          <w:rFonts w:cs="Arial"/>
          <w:szCs w:val="22"/>
          <w:lang w:val="en-US" w:eastAsia="en-US"/>
        </w:rPr>
      </w:pPr>
      <w:r w:rsidRPr="007A2F9A">
        <w:rPr>
          <w:rFonts w:cs="Arial"/>
          <w:szCs w:val="22"/>
          <w:lang w:val="en-US" w:eastAsia="en-US"/>
        </w:rPr>
        <w:t xml:space="preserve">the date upon which settlement of the relevant transaction occurred; </w:t>
      </w:r>
    </w:p>
    <w:p w14:paraId="25ADAD13" w14:textId="77777777" w:rsidR="00081AEA" w:rsidRPr="007A2F9A" w:rsidRDefault="00081AEA" w:rsidP="00081AEA">
      <w:pPr>
        <w:numPr>
          <w:ilvl w:val="0"/>
          <w:numId w:val="10"/>
        </w:numPr>
        <w:spacing w:after="120"/>
        <w:ind w:left="1134" w:hanging="567"/>
        <w:jc w:val="both"/>
        <w:rPr>
          <w:rFonts w:cs="Arial"/>
          <w:szCs w:val="22"/>
          <w:lang w:val="en-US" w:eastAsia="en-US"/>
        </w:rPr>
      </w:pPr>
      <w:r w:rsidRPr="007A2F9A">
        <w:rPr>
          <w:rFonts w:cs="Arial"/>
          <w:szCs w:val="22"/>
          <w:lang w:val="en-US" w:eastAsia="en-US"/>
        </w:rPr>
        <w:t xml:space="preserve">final consideration paid (plus GST, if any); </w:t>
      </w:r>
    </w:p>
    <w:p w14:paraId="12D582C1" w14:textId="77777777" w:rsidR="00081AEA" w:rsidRPr="007A2F9A" w:rsidRDefault="00081AEA" w:rsidP="00081AEA">
      <w:pPr>
        <w:numPr>
          <w:ilvl w:val="0"/>
          <w:numId w:val="10"/>
        </w:numPr>
        <w:spacing w:after="120"/>
        <w:ind w:left="1134" w:hanging="567"/>
        <w:jc w:val="both"/>
        <w:rPr>
          <w:rFonts w:cs="Arial"/>
          <w:szCs w:val="22"/>
          <w:lang w:val="en-US" w:eastAsia="en-US"/>
        </w:rPr>
      </w:pPr>
      <w:r w:rsidRPr="007A2F9A">
        <w:rPr>
          <w:rFonts w:cs="Arial"/>
          <w:szCs w:val="22"/>
          <w:lang w:val="en-US" w:eastAsia="en-US"/>
        </w:rPr>
        <w:t>the structure by which the acquisition was made, and who acquired the property;</w:t>
      </w:r>
    </w:p>
    <w:p w14:paraId="2405D937" w14:textId="77777777" w:rsidR="00081AEA" w:rsidRPr="007A2F9A" w:rsidRDefault="00081AEA" w:rsidP="00081AEA">
      <w:pPr>
        <w:numPr>
          <w:ilvl w:val="0"/>
          <w:numId w:val="10"/>
        </w:numPr>
        <w:spacing w:after="120"/>
        <w:ind w:left="1134" w:hanging="567"/>
        <w:jc w:val="both"/>
        <w:rPr>
          <w:rFonts w:cs="Arial"/>
          <w:szCs w:val="22"/>
          <w:lang w:val="en-US" w:eastAsia="en-US"/>
        </w:rPr>
      </w:pPr>
      <w:r w:rsidRPr="007A2F9A">
        <w:rPr>
          <w:rFonts w:cs="Arial"/>
          <w:szCs w:val="22"/>
          <w:lang w:val="en-US" w:eastAsia="en-US"/>
        </w:rPr>
        <w:t>where applicable, copies of transfer documents and settlement statements; and</w:t>
      </w:r>
    </w:p>
    <w:p w14:paraId="0F6AE82D" w14:textId="77777777" w:rsidR="00081AEA" w:rsidRPr="00DD74F8" w:rsidRDefault="00081AEA" w:rsidP="00081AEA">
      <w:pPr>
        <w:numPr>
          <w:ilvl w:val="0"/>
          <w:numId w:val="10"/>
        </w:numPr>
        <w:spacing w:after="120"/>
        <w:ind w:left="1134" w:hanging="567"/>
        <w:jc w:val="both"/>
        <w:rPr>
          <w:rFonts w:cs="Arial"/>
          <w:szCs w:val="22"/>
          <w:lang w:val="en-US" w:eastAsia="en-US"/>
        </w:rPr>
      </w:pPr>
      <w:r w:rsidRPr="007A2F9A">
        <w:rPr>
          <w:rFonts w:cs="Arial"/>
          <w:szCs w:val="22"/>
          <w:lang w:val="en-US" w:eastAsia="en-US"/>
        </w:rPr>
        <w:t>any other information that would aid the OIO in its function to monitor the conditions</w:t>
      </w:r>
      <w:r w:rsidRPr="00DD74F8">
        <w:rPr>
          <w:rFonts w:cs="Arial"/>
          <w:szCs w:val="22"/>
          <w:lang w:val="en-US" w:eastAsia="en-US"/>
        </w:rPr>
        <w:t xml:space="preserve"> of the Exemption. </w:t>
      </w:r>
    </w:p>
    <w:p w14:paraId="1359CDFB" w14:textId="77777777" w:rsidR="00081AEA" w:rsidRPr="00DD74F8" w:rsidRDefault="00081AEA" w:rsidP="00081AEA">
      <w:pPr>
        <w:pStyle w:val="ListParagraph"/>
        <w:numPr>
          <w:ilvl w:val="0"/>
          <w:numId w:val="9"/>
        </w:numPr>
        <w:spacing w:after="120"/>
        <w:ind w:left="567" w:hanging="567"/>
        <w:jc w:val="both"/>
        <w:rPr>
          <w:rFonts w:cs="Arial"/>
          <w:szCs w:val="22"/>
          <w:lang w:val="en-US" w:eastAsia="en-US"/>
        </w:rPr>
      </w:pPr>
      <w:r w:rsidRPr="00DD74F8">
        <w:rPr>
          <w:rFonts w:cs="Arial"/>
          <w:szCs w:val="22"/>
          <w:lang w:val="en-US" w:eastAsia="en-US"/>
        </w:rPr>
        <w:t>If requested in writing by the OIO, the Exemption Holder must provide a written report within 20 working days (or such other timeframe as specified) on any matter relating to its compliance with:</w:t>
      </w:r>
    </w:p>
    <w:p w14:paraId="773FE288" w14:textId="77777777" w:rsidR="00081AEA" w:rsidRPr="00DD74F8" w:rsidRDefault="00081AEA" w:rsidP="00081AEA">
      <w:pPr>
        <w:numPr>
          <w:ilvl w:val="0"/>
          <w:numId w:val="11"/>
        </w:numPr>
        <w:spacing w:after="120"/>
        <w:ind w:left="1134" w:hanging="567"/>
        <w:jc w:val="both"/>
        <w:rPr>
          <w:rFonts w:cs="Arial"/>
          <w:szCs w:val="22"/>
          <w:lang w:val="en-US" w:eastAsia="en-US"/>
        </w:rPr>
      </w:pPr>
      <w:r w:rsidRPr="00DD74F8">
        <w:rPr>
          <w:rFonts w:cs="Arial"/>
          <w:szCs w:val="22"/>
          <w:lang w:val="en-US" w:eastAsia="en-US"/>
        </w:rPr>
        <w:t>the representations and plans made or submitted in support of the application for the Exemption; or</w:t>
      </w:r>
    </w:p>
    <w:p w14:paraId="68E27F21" w14:textId="77777777" w:rsidR="00081AEA" w:rsidRPr="00733B63" w:rsidRDefault="00081AEA" w:rsidP="00081AEA">
      <w:pPr>
        <w:numPr>
          <w:ilvl w:val="0"/>
          <w:numId w:val="11"/>
        </w:numPr>
        <w:ind w:left="1134" w:hanging="567"/>
        <w:jc w:val="both"/>
        <w:rPr>
          <w:rFonts w:cs="Arial"/>
          <w:szCs w:val="22"/>
          <w:lang w:eastAsia="en-US"/>
        </w:rPr>
      </w:pPr>
      <w:r w:rsidRPr="00733B63">
        <w:rPr>
          <w:rFonts w:cs="Arial"/>
          <w:szCs w:val="22"/>
          <w:lang w:val="en-US" w:eastAsia="en-US"/>
        </w:rPr>
        <w:t>the</w:t>
      </w:r>
      <w:r w:rsidRPr="00733B63">
        <w:rPr>
          <w:rFonts w:cs="Arial"/>
          <w:szCs w:val="22"/>
          <w:lang w:eastAsia="en-US"/>
        </w:rPr>
        <w:t xml:space="preserve"> </w:t>
      </w:r>
      <w:r w:rsidRPr="00E260BC">
        <w:rPr>
          <w:rFonts w:cs="Arial"/>
          <w:szCs w:val="22"/>
          <w:lang w:val="en-US" w:eastAsia="en-US"/>
        </w:rPr>
        <w:t>conditions</w:t>
      </w:r>
      <w:r w:rsidRPr="00733B63">
        <w:rPr>
          <w:rFonts w:cs="Arial"/>
          <w:szCs w:val="22"/>
          <w:lang w:eastAsia="en-US"/>
        </w:rPr>
        <w:t xml:space="preserve"> of the Exemption.</w:t>
      </w:r>
    </w:p>
    <w:p w14:paraId="5433FB6A" w14:textId="77777777" w:rsidR="00081AEA" w:rsidRPr="00750790" w:rsidRDefault="00081AEA" w:rsidP="00081AEA">
      <w:pPr>
        <w:pStyle w:val="Heading2-Normalnointent"/>
        <w:numPr>
          <w:ilvl w:val="3"/>
          <w:numId w:val="7"/>
        </w:numPr>
        <w:spacing w:before="120"/>
        <w:ind w:left="0" w:hanging="425"/>
        <w:rPr>
          <w:rFonts w:ascii="Arial" w:hAnsi="Arial" w:cs="Arial"/>
          <w:b w:val="0"/>
        </w:rPr>
      </w:pPr>
      <w:r w:rsidRPr="00750790">
        <w:rPr>
          <w:rFonts w:ascii="Arial" w:hAnsi="Arial" w:cs="Arial"/>
          <w:lang w:val="en-NZ"/>
        </w:rPr>
        <w:t>Reasons</w:t>
      </w:r>
      <w:r w:rsidRPr="00750790">
        <w:rPr>
          <w:rFonts w:ascii="Arial" w:hAnsi="Arial" w:cs="Arial"/>
        </w:rPr>
        <w:t xml:space="preserve"> for Exemption</w:t>
      </w:r>
    </w:p>
    <w:p w14:paraId="6940F6F5" w14:textId="2B4B1142" w:rsidR="00081AEA" w:rsidRPr="00313BFE" w:rsidRDefault="00081AEA" w:rsidP="00081AEA">
      <w:pPr>
        <w:pStyle w:val="ListParagraph"/>
        <w:numPr>
          <w:ilvl w:val="0"/>
          <w:numId w:val="4"/>
        </w:numPr>
        <w:spacing w:after="120"/>
        <w:ind w:left="567" w:hanging="567"/>
        <w:contextualSpacing w:val="0"/>
        <w:jc w:val="both"/>
        <w:rPr>
          <w:rFonts w:cs="Arial"/>
          <w:lang w:eastAsia="en-US"/>
        </w:rPr>
      </w:pPr>
      <w:r>
        <w:rPr>
          <w:rFonts w:cs="Arial"/>
          <w:lang w:eastAsia="en-US"/>
        </w:rPr>
        <w:t>T</w:t>
      </w:r>
      <w:r w:rsidRPr="00313BFE">
        <w:rPr>
          <w:rFonts w:cs="Arial"/>
          <w:lang w:eastAsia="en-US"/>
        </w:rPr>
        <w:t>he Exemption Holder intends to acquire</w:t>
      </w:r>
      <w:r>
        <w:rPr>
          <w:rFonts w:cs="Arial"/>
          <w:lang w:eastAsia="en-US"/>
        </w:rPr>
        <w:t xml:space="preserve"> a 40% interest in Aquila Capital, </w:t>
      </w:r>
      <w:r>
        <w:t>an alternative asset management company,</w:t>
      </w:r>
      <w:r>
        <w:rPr>
          <w:rFonts w:cs="Arial"/>
          <w:lang w:eastAsia="en-US"/>
        </w:rPr>
        <w:t xml:space="preserve"> </w:t>
      </w:r>
      <w:r w:rsidRPr="00313BFE">
        <w:rPr>
          <w:rFonts w:cs="Arial"/>
          <w:lang w:eastAsia="en-US"/>
        </w:rPr>
        <w:t xml:space="preserve">and has applied for an exemption from the requirement for consent for this </w:t>
      </w:r>
      <w:r>
        <w:rPr>
          <w:rFonts w:cs="Arial"/>
          <w:lang w:eastAsia="en-US"/>
        </w:rPr>
        <w:t>acquisit</w:t>
      </w:r>
      <w:r w:rsidRPr="00313BFE">
        <w:rPr>
          <w:rFonts w:cs="Arial"/>
          <w:lang w:eastAsia="en-US"/>
        </w:rPr>
        <w:t>ion.</w:t>
      </w:r>
    </w:p>
    <w:p w14:paraId="7C4F12F4" w14:textId="77777777" w:rsidR="00081AEA" w:rsidRPr="00313BFE" w:rsidRDefault="00081AEA" w:rsidP="00081AEA">
      <w:pPr>
        <w:pStyle w:val="ListParagraph"/>
        <w:numPr>
          <w:ilvl w:val="0"/>
          <w:numId w:val="4"/>
        </w:numPr>
        <w:spacing w:after="120"/>
        <w:ind w:left="567" w:hanging="567"/>
        <w:contextualSpacing w:val="0"/>
        <w:jc w:val="both"/>
        <w:rPr>
          <w:rFonts w:cs="Arial"/>
          <w:lang w:eastAsia="en-US"/>
        </w:rPr>
      </w:pPr>
      <w:r w:rsidRPr="00313BFE">
        <w:rPr>
          <w:rFonts w:cs="Arial"/>
          <w:lang w:eastAsia="en-US"/>
        </w:rPr>
        <w:t>T</w:t>
      </w:r>
      <w:r>
        <w:rPr>
          <w:rFonts w:cs="Arial"/>
          <w:lang w:eastAsia="en-US"/>
        </w:rPr>
        <w:t>he Exemption Holder is a Japanese registered company that invests in renewable energy, resources and infrastructure projects</w:t>
      </w:r>
      <w:r w:rsidRPr="00313BFE">
        <w:rPr>
          <w:rFonts w:cs="Arial"/>
          <w:lang w:eastAsia="en-US"/>
        </w:rPr>
        <w:t xml:space="preserve"> The Exemption Holder is wholly owned </w:t>
      </w:r>
      <w:r>
        <w:rPr>
          <w:rFonts w:cs="Arial"/>
          <w:lang w:eastAsia="en-US"/>
        </w:rPr>
        <w:t>by</w:t>
      </w:r>
      <w:r w:rsidRPr="00313BFE">
        <w:rPr>
          <w:rFonts w:cs="Arial"/>
          <w:lang w:eastAsia="en-US"/>
        </w:rPr>
        <w:t xml:space="preserve"> </w:t>
      </w:r>
      <w:r>
        <w:t>Daiwa Securities Group Inc, a financial services company listed on the Tokyo Stock Exchange.</w:t>
      </w:r>
    </w:p>
    <w:p w14:paraId="009727CF" w14:textId="040320E1" w:rsidR="00081AEA" w:rsidRDefault="00081AEA" w:rsidP="00081AEA">
      <w:pPr>
        <w:pStyle w:val="ListParagraph"/>
        <w:numPr>
          <w:ilvl w:val="0"/>
          <w:numId w:val="4"/>
        </w:numPr>
        <w:spacing w:after="120"/>
        <w:ind w:left="567" w:hanging="567"/>
        <w:contextualSpacing w:val="0"/>
        <w:jc w:val="both"/>
        <w:rPr>
          <w:rFonts w:cs="Arial"/>
          <w:lang w:eastAsia="en-US"/>
        </w:rPr>
      </w:pPr>
      <w:r>
        <w:rPr>
          <w:rFonts w:cs="Arial"/>
          <w:lang w:eastAsia="en-US"/>
        </w:rPr>
        <w:t>Aquila Capital indirectly owns four</w:t>
      </w:r>
      <w:r w:rsidRPr="00313BFE">
        <w:rPr>
          <w:rFonts w:cs="Arial"/>
          <w:lang w:eastAsia="en-US"/>
        </w:rPr>
        <w:t xml:space="preserve"> </w:t>
      </w:r>
      <w:r>
        <w:rPr>
          <w:rFonts w:cs="Arial"/>
          <w:lang w:eastAsia="en-US"/>
        </w:rPr>
        <w:t>entities which</w:t>
      </w:r>
      <w:r w:rsidRPr="00313BFE">
        <w:rPr>
          <w:rFonts w:cs="Arial"/>
          <w:lang w:eastAsia="en-US"/>
        </w:rPr>
        <w:t xml:space="preserve"> have </w:t>
      </w:r>
      <w:r>
        <w:rPr>
          <w:rFonts w:cs="Arial"/>
          <w:lang w:eastAsia="en-US"/>
        </w:rPr>
        <w:t xml:space="preserve">control and ownership </w:t>
      </w:r>
      <w:r w:rsidRPr="00313BFE">
        <w:rPr>
          <w:rFonts w:cs="Arial"/>
          <w:lang w:eastAsia="en-US"/>
        </w:rPr>
        <w:t xml:space="preserve">interests in </w:t>
      </w:r>
      <w:r>
        <w:rPr>
          <w:rFonts w:cs="Arial"/>
          <w:lang w:eastAsia="en-US"/>
        </w:rPr>
        <w:t>the Aquila Funds</w:t>
      </w:r>
      <w:r w:rsidR="006A4DEB">
        <w:rPr>
          <w:rFonts w:cs="Arial"/>
          <w:lang w:eastAsia="en-US"/>
        </w:rPr>
        <w:t>,</w:t>
      </w:r>
      <w:r w:rsidR="00083E99">
        <w:rPr>
          <w:rFonts w:cs="Arial"/>
          <w:lang w:eastAsia="en-US"/>
        </w:rPr>
        <w:t xml:space="preserve"> including ownership in a trustee capacity</w:t>
      </w:r>
      <w:r>
        <w:rPr>
          <w:rFonts w:cs="Arial"/>
          <w:lang w:eastAsia="en-US"/>
        </w:rPr>
        <w:t xml:space="preserve">. The Aquila Funds hold </w:t>
      </w:r>
      <w:r w:rsidRPr="00313BFE">
        <w:rPr>
          <w:rFonts w:cs="Arial"/>
          <w:lang w:eastAsia="en-US"/>
        </w:rPr>
        <w:t xml:space="preserve">sensitive land and significant business assets in New Zealand. </w:t>
      </w:r>
    </w:p>
    <w:p w14:paraId="41DEEBC4" w14:textId="57863BC1" w:rsidR="00081AEA" w:rsidRPr="00313BFE" w:rsidRDefault="00081AEA" w:rsidP="00081AEA">
      <w:pPr>
        <w:pStyle w:val="ListParagraph"/>
        <w:numPr>
          <w:ilvl w:val="0"/>
          <w:numId w:val="4"/>
        </w:numPr>
        <w:spacing w:after="120"/>
        <w:ind w:left="567" w:hanging="567"/>
        <w:contextualSpacing w:val="0"/>
        <w:jc w:val="both"/>
        <w:rPr>
          <w:rFonts w:cs="Arial"/>
          <w:lang w:eastAsia="en-US"/>
        </w:rPr>
      </w:pPr>
      <w:r w:rsidRPr="00313BFE">
        <w:rPr>
          <w:rFonts w:cs="Arial"/>
          <w:lang w:eastAsia="en-US"/>
        </w:rPr>
        <w:t xml:space="preserve">The acquisition will result in </w:t>
      </w:r>
      <w:r>
        <w:rPr>
          <w:rFonts w:cs="Arial"/>
          <w:lang w:eastAsia="en-US"/>
        </w:rPr>
        <w:t>a minor</w:t>
      </w:r>
      <w:r w:rsidRPr="00313BFE">
        <w:rPr>
          <w:rFonts w:cs="Arial"/>
          <w:lang w:eastAsia="en-US"/>
        </w:rPr>
        <w:t xml:space="preserve"> </w:t>
      </w:r>
      <w:r>
        <w:rPr>
          <w:rFonts w:cs="Arial"/>
          <w:lang w:eastAsia="en-US"/>
        </w:rPr>
        <w:t>change in the</w:t>
      </w:r>
      <w:r w:rsidRPr="00313BFE">
        <w:rPr>
          <w:rFonts w:cs="Arial"/>
          <w:lang w:eastAsia="en-US"/>
        </w:rPr>
        <w:t xml:space="preserve"> </w:t>
      </w:r>
      <w:r>
        <w:rPr>
          <w:rFonts w:cs="Arial"/>
          <w:lang w:eastAsia="en-US"/>
        </w:rPr>
        <w:t>beneficial ownership of</w:t>
      </w:r>
      <w:r w:rsidRPr="00313BFE">
        <w:rPr>
          <w:rFonts w:cs="Arial"/>
          <w:lang w:eastAsia="en-US"/>
        </w:rPr>
        <w:t xml:space="preserve"> the New Zealand </w:t>
      </w:r>
      <w:r>
        <w:rPr>
          <w:rFonts w:cs="Arial"/>
          <w:lang w:eastAsia="en-US"/>
        </w:rPr>
        <w:t>A</w:t>
      </w:r>
      <w:r w:rsidRPr="00313BFE">
        <w:rPr>
          <w:rFonts w:cs="Arial"/>
          <w:lang w:eastAsia="en-US"/>
        </w:rPr>
        <w:t>ssets</w:t>
      </w:r>
      <w:r>
        <w:rPr>
          <w:rFonts w:cs="Arial"/>
          <w:lang w:eastAsia="en-US"/>
        </w:rPr>
        <w:t>. The control over the New Zealand Assets will remain the same. T</w:t>
      </w:r>
      <w:r w:rsidRPr="00313BFE">
        <w:rPr>
          <w:rFonts w:cs="Arial"/>
          <w:lang w:eastAsia="en-US"/>
        </w:rPr>
        <w:t xml:space="preserve">he </w:t>
      </w:r>
      <w:r>
        <w:rPr>
          <w:rFonts w:cs="Arial"/>
          <w:lang w:eastAsia="en-US"/>
        </w:rPr>
        <w:t>control</w:t>
      </w:r>
      <w:r w:rsidR="00083E99">
        <w:rPr>
          <w:rFonts w:cs="Arial"/>
          <w:lang w:eastAsia="en-US"/>
        </w:rPr>
        <w:t xml:space="preserve"> and </w:t>
      </w:r>
      <w:r w:rsidR="00A47510">
        <w:rPr>
          <w:rFonts w:cs="Arial"/>
          <w:lang w:eastAsia="en-US"/>
        </w:rPr>
        <w:t xml:space="preserve">legal </w:t>
      </w:r>
      <w:r w:rsidR="00083E99">
        <w:rPr>
          <w:rFonts w:cs="Arial"/>
          <w:lang w:eastAsia="en-US"/>
        </w:rPr>
        <w:t>ownership</w:t>
      </w:r>
      <w:r>
        <w:rPr>
          <w:rFonts w:cs="Arial"/>
          <w:lang w:eastAsia="en-US"/>
        </w:rPr>
        <w:t xml:space="preserve"> interests in the New Zealand Assets that are held by the subsidiaries of Aquila Capital</w:t>
      </w:r>
      <w:r w:rsidRPr="00313BFE">
        <w:rPr>
          <w:rFonts w:cs="Arial"/>
          <w:lang w:eastAsia="en-US"/>
        </w:rPr>
        <w:t xml:space="preserve"> </w:t>
      </w:r>
      <w:r>
        <w:rPr>
          <w:rFonts w:cs="Arial"/>
          <w:lang w:eastAsia="en-US"/>
        </w:rPr>
        <w:t xml:space="preserve">are held as </w:t>
      </w:r>
      <w:r w:rsidRPr="00313BFE">
        <w:rPr>
          <w:rFonts w:cs="Arial"/>
          <w:lang w:eastAsia="en-US"/>
        </w:rPr>
        <w:t>trustee</w:t>
      </w:r>
      <w:r>
        <w:rPr>
          <w:rFonts w:cs="Arial"/>
          <w:lang w:eastAsia="en-US"/>
        </w:rPr>
        <w:t xml:space="preserve"> and</w:t>
      </w:r>
      <w:r w:rsidRPr="00313BFE">
        <w:rPr>
          <w:rFonts w:cs="Arial"/>
          <w:lang w:eastAsia="en-US"/>
        </w:rPr>
        <w:t xml:space="preserve"> manager of </w:t>
      </w:r>
      <w:r>
        <w:rPr>
          <w:rFonts w:cs="Arial"/>
          <w:lang w:eastAsia="en-US"/>
        </w:rPr>
        <w:t>the Aquila F</w:t>
      </w:r>
      <w:r w:rsidRPr="00313BFE">
        <w:rPr>
          <w:rFonts w:cs="Arial"/>
          <w:lang w:eastAsia="en-US"/>
        </w:rPr>
        <w:t>unds</w:t>
      </w:r>
      <w:r>
        <w:rPr>
          <w:rFonts w:cs="Arial"/>
          <w:lang w:eastAsia="en-US"/>
        </w:rPr>
        <w:t>. These subsidiaries have</w:t>
      </w:r>
      <w:r w:rsidRPr="00313BFE">
        <w:rPr>
          <w:rFonts w:cs="Arial"/>
          <w:lang w:eastAsia="en-US"/>
        </w:rPr>
        <w:t xml:space="preserve"> fiduciary duties and other obligations </w:t>
      </w:r>
      <w:r>
        <w:rPr>
          <w:rFonts w:cs="Arial"/>
          <w:lang w:eastAsia="en-US"/>
        </w:rPr>
        <w:t xml:space="preserve">to the Underlying Investors in the Aquila Funds that </w:t>
      </w:r>
      <w:r w:rsidRPr="00313BFE">
        <w:rPr>
          <w:rFonts w:cs="Arial"/>
          <w:lang w:eastAsia="en-US"/>
        </w:rPr>
        <w:t>require them to act in the best interests of those funds.</w:t>
      </w:r>
    </w:p>
    <w:p w14:paraId="2007A78E" w14:textId="77777777" w:rsidR="00081AEA" w:rsidRPr="00313BFE" w:rsidRDefault="00081AEA" w:rsidP="00081AEA">
      <w:pPr>
        <w:pStyle w:val="ListParagraph"/>
        <w:numPr>
          <w:ilvl w:val="0"/>
          <w:numId w:val="4"/>
        </w:numPr>
        <w:spacing w:after="120"/>
        <w:ind w:left="567" w:hanging="567"/>
        <w:contextualSpacing w:val="0"/>
        <w:jc w:val="both"/>
        <w:rPr>
          <w:rFonts w:cs="Arial"/>
          <w:lang w:eastAsia="en-US"/>
        </w:rPr>
      </w:pPr>
      <w:r w:rsidRPr="00313BFE">
        <w:rPr>
          <w:rFonts w:cs="Arial"/>
          <w:lang w:eastAsia="en-US"/>
        </w:rPr>
        <w:t>The Exemption meets the criteria in section 61E of the Act and is consistent with the purpose of the Act because:</w:t>
      </w:r>
    </w:p>
    <w:p w14:paraId="60B3C05C" w14:textId="77777777" w:rsidR="00081AEA" w:rsidRPr="008501CD" w:rsidRDefault="00081AEA" w:rsidP="00081AEA">
      <w:pPr>
        <w:numPr>
          <w:ilvl w:val="0"/>
          <w:numId w:val="12"/>
        </w:numPr>
        <w:spacing w:after="120"/>
        <w:ind w:left="1134" w:hanging="567"/>
        <w:jc w:val="both"/>
        <w:rPr>
          <w:rFonts w:cs="Arial"/>
          <w:lang w:eastAsia="en-US"/>
        </w:rPr>
      </w:pPr>
      <w:r w:rsidRPr="00313BFE">
        <w:rPr>
          <w:rFonts w:cs="Arial"/>
          <w:lang w:eastAsia="en-US"/>
        </w:rPr>
        <w:t xml:space="preserve">There will be no </w:t>
      </w:r>
      <w:r>
        <w:rPr>
          <w:rFonts w:cs="Arial"/>
          <w:lang w:eastAsia="en-US"/>
        </w:rPr>
        <w:t>change in</w:t>
      </w:r>
      <w:r w:rsidRPr="00313BFE">
        <w:rPr>
          <w:rFonts w:cs="Arial"/>
          <w:lang w:eastAsia="en-US"/>
        </w:rPr>
        <w:t xml:space="preserve"> </w:t>
      </w:r>
      <w:r>
        <w:rPr>
          <w:rFonts w:cs="Arial"/>
          <w:lang w:eastAsia="en-US"/>
        </w:rPr>
        <w:t xml:space="preserve">the </w:t>
      </w:r>
      <w:r w:rsidRPr="00313BFE">
        <w:rPr>
          <w:rFonts w:cs="Arial"/>
          <w:lang w:eastAsia="en-US"/>
        </w:rPr>
        <w:t>control of the sensitive assets</w:t>
      </w:r>
      <w:r>
        <w:rPr>
          <w:rFonts w:cs="Arial"/>
          <w:lang w:eastAsia="en-US"/>
        </w:rPr>
        <w:t xml:space="preserve"> and only a minor change in beneficial ownership</w:t>
      </w:r>
      <w:r w:rsidRPr="00313BFE">
        <w:rPr>
          <w:rFonts w:cs="Arial"/>
          <w:lang w:eastAsia="en-US"/>
        </w:rPr>
        <w:t>.</w:t>
      </w:r>
    </w:p>
    <w:p w14:paraId="6AE77817" w14:textId="77777777" w:rsidR="00081AEA" w:rsidRPr="008166BD" w:rsidRDefault="00081AEA" w:rsidP="00081AEA">
      <w:pPr>
        <w:numPr>
          <w:ilvl w:val="0"/>
          <w:numId w:val="12"/>
        </w:numPr>
        <w:spacing w:after="120"/>
        <w:ind w:left="1134" w:hanging="567"/>
        <w:jc w:val="both"/>
        <w:rPr>
          <w:rFonts w:cs="Arial"/>
          <w:lang w:eastAsia="en-US"/>
        </w:rPr>
      </w:pPr>
      <w:r>
        <w:rPr>
          <w:rFonts w:cs="Arial"/>
          <w:lang w:eastAsia="en-US"/>
        </w:rPr>
        <w:t xml:space="preserve">Aquila </w:t>
      </w:r>
      <w:r w:rsidRPr="00E260BC">
        <w:rPr>
          <w:rFonts w:cs="Arial"/>
          <w:szCs w:val="22"/>
          <w:lang w:val="en-US" w:eastAsia="en-US"/>
        </w:rPr>
        <w:t>Capital</w:t>
      </w:r>
      <w:r>
        <w:rPr>
          <w:rFonts w:cs="Arial"/>
          <w:lang w:eastAsia="en-US"/>
        </w:rPr>
        <w:t xml:space="preserve"> and its subsidiaries,</w:t>
      </w:r>
      <w:r w:rsidRPr="00313BFE">
        <w:rPr>
          <w:rFonts w:cs="Arial"/>
          <w:lang w:eastAsia="en-US"/>
        </w:rPr>
        <w:t xml:space="preserve"> investment vehicles and relevant funds previously obtained consent to acquire the interests in sensitive assets and are subject to conditions of those consents;</w:t>
      </w:r>
    </w:p>
    <w:p w14:paraId="4CF6EF0F" w14:textId="77777777" w:rsidR="00081AEA" w:rsidRPr="00313BFE" w:rsidRDefault="00081AEA" w:rsidP="00081AEA">
      <w:pPr>
        <w:numPr>
          <w:ilvl w:val="0"/>
          <w:numId w:val="12"/>
        </w:numPr>
        <w:spacing w:after="120"/>
        <w:ind w:left="1134" w:hanging="567"/>
        <w:jc w:val="both"/>
        <w:rPr>
          <w:rFonts w:cs="Arial"/>
          <w:lang w:eastAsia="en-US"/>
        </w:rPr>
      </w:pPr>
      <w:r w:rsidRPr="00313BFE">
        <w:rPr>
          <w:rFonts w:cs="Arial"/>
          <w:lang w:eastAsia="en-US"/>
        </w:rPr>
        <w:t>The Exemption Holder cannot change the investment plan for the assets for their own interests;</w:t>
      </w:r>
    </w:p>
    <w:p w14:paraId="383DF116" w14:textId="77777777" w:rsidR="00081AEA" w:rsidRPr="00313BFE" w:rsidRDefault="00081AEA" w:rsidP="00081AEA">
      <w:pPr>
        <w:numPr>
          <w:ilvl w:val="0"/>
          <w:numId w:val="12"/>
        </w:numPr>
        <w:spacing w:after="120"/>
        <w:ind w:left="1134" w:hanging="567"/>
        <w:jc w:val="both"/>
        <w:rPr>
          <w:rFonts w:cs="Arial"/>
          <w:lang w:eastAsia="en-US"/>
        </w:rPr>
      </w:pPr>
      <w:r w:rsidRPr="00313BFE">
        <w:rPr>
          <w:rFonts w:cs="Arial"/>
          <w:lang w:eastAsia="en-US"/>
        </w:rPr>
        <w:t>The Exemption is not broader than necessary as it only applies to the acquisition of a trustee or management interest in the assets;</w:t>
      </w:r>
      <w:r>
        <w:rPr>
          <w:rFonts w:cs="Arial"/>
          <w:lang w:eastAsia="en-US"/>
        </w:rPr>
        <w:t xml:space="preserve"> and</w:t>
      </w:r>
    </w:p>
    <w:p w14:paraId="3B569C47" w14:textId="79E1CA71" w:rsidR="00081AEA" w:rsidRPr="00081AEA" w:rsidRDefault="00081AEA" w:rsidP="00081AEA">
      <w:pPr>
        <w:numPr>
          <w:ilvl w:val="0"/>
          <w:numId w:val="12"/>
        </w:numPr>
        <w:spacing w:after="120"/>
        <w:ind w:left="1134" w:hanging="567"/>
        <w:jc w:val="both"/>
        <w:rPr>
          <w:rFonts w:cs="Arial"/>
          <w:lang w:eastAsia="en-US"/>
        </w:rPr>
      </w:pPr>
      <w:r w:rsidRPr="00313BFE">
        <w:rPr>
          <w:rFonts w:cs="Arial"/>
          <w:lang w:eastAsia="en-US"/>
        </w:rPr>
        <w:t>The Exemption is analogous to the exemption for a change in trustee as it relates to the change of ownership of an overseas owned trustee</w:t>
      </w:r>
      <w:r>
        <w:rPr>
          <w:rFonts w:cs="Arial"/>
          <w:lang w:eastAsia="en-US"/>
        </w:rPr>
        <w:t>.</w:t>
      </w:r>
    </w:p>
    <w:p w14:paraId="04B62DFB" w14:textId="77777777" w:rsidR="00081AEA" w:rsidRDefault="00081AEA" w:rsidP="00081AEA">
      <w:pPr>
        <w:pStyle w:val="Heading2-Normalnointent"/>
        <w:numPr>
          <w:ilvl w:val="3"/>
          <w:numId w:val="5"/>
        </w:numPr>
        <w:ind w:left="0" w:hanging="284"/>
        <w:rPr>
          <w:rFonts w:ascii="Arial" w:hAnsi="Arial" w:cs="Arial"/>
          <w:lang w:val="en-US"/>
        </w:rPr>
      </w:pPr>
      <w:r>
        <w:rPr>
          <w:rFonts w:ascii="Arial" w:hAnsi="Arial" w:cs="Arial"/>
          <w:lang w:val="en-US"/>
        </w:rPr>
        <w:lastRenderedPageBreak/>
        <w:t>Amendment or revocation of the Exemption</w:t>
      </w:r>
    </w:p>
    <w:p w14:paraId="5C0EB605" w14:textId="77777777" w:rsidR="00081AEA" w:rsidRDefault="00081AEA" w:rsidP="00081AEA">
      <w:pPr>
        <w:pStyle w:val="ListParagraph"/>
        <w:tabs>
          <w:tab w:val="num" w:pos="1134"/>
          <w:tab w:val="num" w:pos="1667"/>
        </w:tabs>
        <w:ind w:left="0"/>
        <w:jc w:val="both"/>
        <w:rPr>
          <w:rFonts w:cs="Arial"/>
          <w:szCs w:val="22"/>
          <w:lang w:val="en-US" w:eastAsia="en-US"/>
        </w:rPr>
      </w:pPr>
      <w:r>
        <w:rPr>
          <w:rFonts w:cs="Arial"/>
          <w:szCs w:val="22"/>
          <w:lang w:val="en-US" w:eastAsia="en-US"/>
        </w:rPr>
        <w:t>The Exemption and conditions of the Exemption may at any time be amended or revoked by the Overseas Investment Office.</w:t>
      </w:r>
    </w:p>
    <w:p w14:paraId="3B69D4BA" w14:textId="77777777" w:rsidR="00081AEA" w:rsidRDefault="00081AEA" w:rsidP="00081AEA">
      <w:pPr>
        <w:pStyle w:val="Heading2-Normalnointent"/>
        <w:numPr>
          <w:ilvl w:val="3"/>
          <w:numId w:val="5"/>
        </w:numPr>
        <w:ind w:left="0" w:hanging="284"/>
        <w:rPr>
          <w:rFonts w:ascii="Arial" w:hAnsi="Arial" w:cs="Arial"/>
          <w:lang w:val="en-NZ"/>
        </w:rPr>
      </w:pPr>
      <w:r>
        <w:rPr>
          <w:rFonts w:ascii="Arial" w:hAnsi="Arial" w:cs="Arial"/>
          <w:lang w:val="en-NZ"/>
        </w:rPr>
        <w:t>Sanctions</w:t>
      </w:r>
    </w:p>
    <w:p w14:paraId="6612C786" w14:textId="77777777" w:rsidR="00081AEA" w:rsidRDefault="00081AEA" w:rsidP="00081AEA">
      <w:pPr>
        <w:pStyle w:val="ListParagraph"/>
        <w:tabs>
          <w:tab w:val="num" w:pos="1667"/>
        </w:tabs>
        <w:ind w:left="0"/>
        <w:jc w:val="both"/>
        <w:rPr>
          <w:rFonts w:cs="Arial"/>
          <w:szCs w:val="22"/>
          <w:lang w:eastAsia="en-US"/>
        </w:rPr>
      </w:pPr>
      <w:r>
        <w:rPr>
          <w:rFonts w:cs="Arial"/>
          <w:szCs w:val="22"/>
          <w:lang w:eastAsia="en-US"/>
        </w:rPr>
        <w:t>The Act provides for civil and criminal sanctions for breaching the Act, failing to comply with conditions of exemption and failing to provide information required by the Overseas Investment Office. The Overseas Investment Office has an obligation to investigate and act upon alleged and suspected breaches of the Act.</w:t>
      </w:r>
    </w:p>
    <w:p w14:paraId="07093CB8" w14:textId="722FE853" w:rsidR="002B5071" w:rsidRDefault="002B5071" w:rsidP="00081AEA"/>
    <w:sectPr w:rsidR="002B5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3CCC"/>
    <w:multiLevelType w:val="multilevel"/>
    <w:tmpl w:val="1032C7EC"/>
    <w:numStyleLink w:val="Style1"/>
  </w:abstractNum>
  <w:abstractNum w:abstractNumId="1" w15:restartNumberingAfterBreak="0">
    <w:nsid w:val="215C7A06"/>
    <w:multiLevelType w:val="hybridMultilevel"/>
    <w:tmpl w:val="1E3A1CCE"/>
    <w:lvl w:ilvl="0" w:tplc="08090019">
      <w:start w:val="1"/>
      <w:numFmt w:val="lowerLetter"/>
      <w:lvlText w:val="(%1)"/>
      <w:lvlJc w:val="left"/>
      <w:pPr>
        <w:tabs>
          <w:tab w:val="num" w:pos="1440"/>
        </w:tabs>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9B615B"/>
    <w:multiLevelType w:val="hybridMultilevel"/>
    <w:tmpl w:val="81644966"/>
    <w:lvl w:ilvl="0" w:tplc="9E98BA48">
      <w:start w:val="1"/>
      <w:numFmt w:val="decimal"/>
      <w:lvlText w:val="(%1)"/>
      <w:lvlJc w:val="left"/>
      <w:pPr>
        <w:tabs>
          <w:tab w:val="num" w:pos="720"/>
        </w:tabs>
        <w:ind w:left="720" w:hanging="360"/>
      </w:pPr>
    </w:lvl>
    <w:lvl w:ilvl="1" w:tplc="1054E740">
      <w:start w:val="1"/>
      <w:numFmt w:val="lowerLetter"/>
      <w:lvlText w:val="%2."/>
      <w:lvlJc w:val="left"/>
      <w:pPr>
        <w:tabs>
          <w:tab w:val="num" w:pos="1440"/>
        </w:tabs>
        <w:ind w:left="1440" w:hanging="360"/>
      </w:pPr>
    </w:lvl>
    <w:lvl w:ilvl="2" w:tplc="257A2706">
      <w:start w:val="1"/>
      <w:numFmt w:val="lowerRoman"/>
      <w:lvlText w:val="%3."/>
      <w:lvlJc w:val="right"/>
      <w:pPr>
        <w:tabs>
          <w:tab w:val="num" w:pos="2160"/>
        </w:tabs>
        <w:ind w:left="2160" w:hanging="180"/>
      </w:pPr>
    </w:lvl>
    <w:lvl w:ilvl="3" w:tplc="5D26E78A">
      <w:start w:val="1"/>
      <w:numFmt w:val="decimal"/>
      <w:lvlText w:val="%4."/>
      <w:lvlJc w:val="left"/>
      <w:pPr>
        <w:tabs>
          <w:tab w:val="num" w:pos="2880"/>
        </w:tabs>
        <w:ind w:left="2880" w:hanging="360"/>
      </w:pPr>
    </w:lvl>
    <w:lvl w:ilvl="4" w:tplc="3E50DDE4">
      <w:start w:val="1"/>
      <w:numFmt w:val="decimal"/>
      <w:lvlText w:val="%5."/>
      <w:lvlJc w:val="left"/>
      <w:pPr>
        <w:tabs>
          <w:tab w:val="num" w:pos="3600"/>
        </w:tabs>
        <w:ind w:left="3600" w:hanging="360"/>
      </w:pPr>
    </w:lvl>
    <w:lvl w:ilvl="5" w:tplc="19F4EA38">
      <w:start w:val="1"/>
      <w:numFmt w:val="decimal"/>
      <w:lvlText w:val="%6."/>
      <w:lvlJc w:val="left"/>
      <w:pPr>
        <w:tabs>
          <w:tab w:val="num" w:pos="4320"/>
        </w:tabs>
        <w:ind w:left="4320" w:hanging="360"/>
      </w:pPr>
    </w:lvl>
    <w:lvl w:ilvl="6" w:tplc="2B967F6C">
      <w:start w:val="1"/>
      <w:numFmt w:val="decimal"/>
      <w:lvlText w:val="%7."/>
      <w:lvlJc w:val="left"/>
      <w:pPr>
        <w:tabs>
          <w:tab w:val="num" w:pos="5040"/>
        </w:tabs>
        <w:ind w:left="5040" w:hanging="360"/>
      </w:pPr>
    </w:lvl>
    <w:lvl w:ilvl="7" w:tplc="D33AF866">
      <w:start w:val="1"/>
      <w:numFmt w:val="decimal"/>
      <w:lvlText w:val="%8."/>
      <w:lvlJc w:val="left"/>
      <w:pPr>
        <w:tabs>
          <w:tab w:val="num" w:pos="5760"/>
        </w:tabs>
        <w:ind w:left="5760" w:hanging="360"/>
      </w:pPr>
    </w:lvl>
    <w:lvl w:ilvl="8" w:tplc="06F080E0">
      <w:start w:val="1"/>
      <w:numFmt w:val="decimal"/>
      <w:lvlText w:val="%9."/>
      <w:lvlJc w:val="left"/>
      <w:pPr>
        <w:tabs>
          <w:tab w:val="num" w:pos="6480"/>
        </w:tabs>
        <w:ind w:left="6480" w:hanging="360"/>
      </w:pPr>
    </w:lvl>
  </w:abstractNum>
  <w:abstractNum w:abstractNumId="3" w15:restartNumberingAfterBreak="0">
    <w:nsid w:val="3C9E41A6"/>
    <w:multiLevelType w:val="hybridMultilevel"/>
    <w:tmpl w:val="1E3A1CCE"/>
    <w:lvl w:ilvl="0" w:tplc="08090019">
      <w:start w:val="1"/>
      <w:numFmt w:val="lowerLetter"/>
      <w:lvlText w:val="(%1)"/>
      <w:lvlJc w:val="left"/>
      <w:pPr>
        <w:tabs>
          <w:tab w:val="num" w:pos="1440"/>
        </w:tabs>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FEF7589"/>
    <w:multiLevelType w:val="hybridMultilevel"/>
    <w:tmpl w:val="1E3A1CCE"/>
    <w:lvl w:ilvl="0" w:tplc="08090019">
      <w:start w:val="1"/>
      <w:numFmt w:val="lowerLetter"/>
      <w:lvlText w:val="(%1)"/>
      <w:lvlJc w:val="left"/>
      <w:pPr>
        <w:tabs>
          <w:tab w:val="num" w:pos="1440"/>
        </w:tabs>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06F08DE"/>
    <w:multiLevelType w:val="hybridMultilevel"/>
    <w:tmpl w:val="D65E6156"/>
    <w:lvl w:ilvl="0" w:tplc="1674C6C0">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56CE62A0"/>
    <w:multiLevelType w:val="multilevel"/>
    <w:tmpl w:val="1032C7EC"/>
    <w:styleLink w:val="Style1"/>
    <w:lvl w:ilvl="0">
      <w:start w:val="1"/>
      <w:numFmt w:val="decimal"/>
      <w:pStyle w:val="arAttachmentHeading"/>
      <w:suff w:val="space"/>
      <w:lvlText w:val="Attachment %1"/>
      <w:lvlJc w:val="left"/>
      <w:pPr>
        <w:ind w:left="2835" w:hanging="2835"/>
      </w:pPr>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E5806DE"/>
    <w:multiLevelType w:val="hybridMultilevel"/>
    <w:tmpl w:val="B9A45780"/>
    <w:lvl w:ilvl="0" w:tplc="230AADEE">
      <w:start w:val="1"/>
      <w:numFmt w:val="decimal"/>
      <w:lvlText w:val="(%1)"/>
      <w:lvlJc w:val="left"/>
      <w:pPr>
        <w:tabs>
          <w:tab w:val="num" w:pos="720"/>
        </w:tabs>
        <w:ind w:left="720" w:hanging="360"/>
      </w:pPr>
      <w:rPr>
        <w:rFonts w:ascii="Arial" w:eastAsia="Times New Roman" w:hAnsi="Arial" w:cs="Arial"/>
        <w:b w:val="0"/>
      </w:rPr>
    </w:lvl>
    <w:lvl w:ilvl="1" w:tplc="1054E740">
      <w:start w:val="1"/>
      <w:numFmt w:val="lowerLetter"/>
      <w:lvlText w:val="%2."/>
      <w:lvlJc w:val="left"/>
      <w:pPr>
        <w:tabs>
          <w:tab w:val="num" w:pos="1440"/>
        </w:tabs>
        <w:ind w:left="1440" w:hanging="360"/>
      </w:pPr>
    </w:lvl>
    <w:lvl w:ilvl="2" w:tplc="257A2706">
      <w:start w:val="1"/>
      <w:numFmt w:val="lowerRoman"/>
      <w:lvlText w:val="%3."/>
      <w:lvlJc w:val="right"/>
      <w:pPr>
        <w:tabs>
          <w:tab w:val="num" w:pos="2160"/>
        </w:tabs>
        <w:ind w:left="2160" w:hanging="180"/>
      </w:pPr>
    </w:lvl>
    <w:lvl w:ilvl="3" w:tplc="5D26E78A">
      <w:start w:val="1"/>
      <w:numFmt w:val="decimal"/>
      <w:lvlText w:val="%4."/>
      <w:lvlJc w:val="left"/>
      <w:pPr>
        <w:tabs>
          <w:tab w:val="num" w:pos="2880"/>
        </w:tabs>
        <w:ind w:left="2880" w:hanging="360"/>
      </w:pPr>
    </w:lvl>
    <w:lvl w:ilvl="4" w:tplc="3E50DDE4">
      <w:start w:val="1"/>
      <w:numFmt w:val="decimal"/>
      <w:lvlText w:val="%5."/>
      <w:lvlJc w:val="left"/>
      <w:pPr>
        <w:tabs>
          <w:tab w:val="num" w:pos="3600"/>
        </w:tabs>
        <w:ind w:left="3600" w:hanging="360"/>
      </w:pPr>
    </w:lvl>
    <w:lvl w:ilvl="5" w:tplc="19F4EA38">
      <w:start w:val="1"/>
      <w:numFmt w:val="decimal"/>
      <w:lvlText w:val="%6."/>
      <w:lvlJc w:val="left"/>
      <w:pPr>
        <w:tabs>
          <w:tab w:val="num" w:pos="4320"/>
        </w:tabs>
        <w:ind w:left="4320" w:hanging="360"/>
      </w:pPr>
    </w:lvl>
    <w:lvl w:ilvl="6" w:tplc="2B967F6C">
      <w:start w:val="1"/>
      <w:numFmt w:val="decimal"/>
      <w:lvlText w:val="%7."/>
      <w:lvlJc w:val="left"/>
      <w:pPr>
        <w:tabs>
          <w:tab w:val="num" w:pos="5040"/>
        </w:tabs>
        <w:ind w:left="5040" w:hanging="360"/>
      </w:pPr>
    </w:lvl>
    <w:lvl w:ilvl="7" w:tplc="D33AF866">
      <w:start w:val="1"/>
      <w:numFmt w:val="decimal"/>
      <w:lvlText w:val="%8."/>
      <w:lvlJc w:val="left"/>
      <w:pPr>
        <w:tabs>
          <w:tab w:val="num" w:pos="5760"/>
        </w:tabs>
        <w:ind w:left="5760" w:hanging="360"/>
      </w:pPr>
    </w:lvl>
    <w:lvl w:ilvl="8" w:tplc="06F080E0">
      <w:start w:val="1"/>
      <w:numFmt w:val="decimal"/>
      <w:lvlText w:val="%9."/>
      <w:lvlJc w:val="left"/>
      <w:pPr>
        <w:tabs>
          <w:tab w:val="num" w:pos="6480"/>
        </w:tabs>
        <w:ind w:left="6480" w:hanging="360"/>
      </w:pPr>
    </w:lvl>
  </w:abstractNum>
  <w:abstractNum w:abstractNumId="8" w15:restartNumberingAfterBreak="0">
    <w:nsid w:val="72E4685A"/>
    <w:multiLevelType w:val="hybridMultilevel"/>
    <w:tmpl w:val="AB1E5088"/>
    <w:lvl w:ilvl="0" w:tplc="0C3CB4D4">
      <w:start w:val="1"/>
      <w:numFmt w:val="decimal"/>
      <w:lvlText w:val="(%1)"/>
      <w:lvlJc w:val="left"/>
      <w:pPr>
        <w:tabs>
          <w:tab w:val="num" w:pos="720"/>
        </w:tabs>
        <w:ind w:left="720" w:hanging="360"/>
      </w:pPr>
      <w:rPr>
        <w:rFonts w:hint="default"/>
      </w:rPr>
    </w:lvl>
    <w:lvl w:ilvl="1" w:tplc="1054E740">
      <w:start w:val="1"/>
      <w:numFmt w:val="lowerLetter"/>
      <w:lvlText w:val="%2."/>
      <w:lvlJc w:val="left"/>
      <w:pPr>
        <w:tabs>
          <w:tab w:val="num" w:pos="1440"/>
        </w:tabs>
        <w:ind w:left="1440" w:hanging="360"/>
      </w:pPr>
    </w:lvl>
    <w:lvl w:ilvl="2" w:tplc="257A2706">
      <w:start w:val="1"/>
      <w:numFmt w:val="lowerRoman"/>
      <w:lvlText w:val="%3."/>
      <w:lvlJc w:val="right"/>
      <w:pPr>
        <w:tabs>
          <w:tab w:val="num" w:pos="2160"/>
        </w:tabs>
        <w:ind w:left="2160" w:hanging="180"/>
      </w:pPr>
    </w:lvl>
    <w:lvl w:ilvl="3" w:tplc="5D26E78A">
      <w:start w:val="1"/>
      <w:numFmt w:val="decimal"/>
      <w:lvlText w:val="%4."/>
      <w:lvlJc w:val="left"/>
      <w:pPr>
        <w:tabs>
          <w:tab w:val="num" w:pos="2880"/>
        </w:tabs>
        <w:ind w:left="2880" w:hanging="360"/>
      </w:pPr>
    </w:lvl>
    <w:lvl w:ilvl="4" w:tplc="3E50DDE4">
      <w:start w:val="1"/>
      <w:numFmt w:val="decimal"/>
      <w:lvlText w:val="%5."/>
      <w:lvlJc w:val="left"/>
      <w:pPr>
        <w:tabs>
          <w:tab w:val="num" w:pos="3600"/>
        </w:tabs>
        <w:ind w:left="3600" w:hanging="360"/>
      </w:pPr>
    </w:lvl>
    <w:lvl w:ilvl="5" w:tplc="19F4EA38">
      <w:start w:val="1"/>
      <w:numFmt w:val="decimal"/>
      <w:lvlText w:val="%6."/>
      <w:lvlJc w:val="left"/>
      <w:pPr>
        <w:tabs>
          <w:tab w:val="num" w:pos="4320"/>
        </w:tabs>
        <w:ind w:left="4320" w:hanging="360"/>
      </w:pPr>
    </w:lvl>
    <w:lvl w:ilvl="6" w:tplc="2B967F6C">
      <w:start w:val="1"/>
      <w:numFmt w:val="decimal"/>
      <w:lvlText w:val="%7."/>
      <w:lvlJc w:val="left"/>
      <w:pPr>
        <w:tabs>
          <w:tab w:val="num" w:pos="5040"/>
        </w:tabs>
        <w:ind w:left="5040" w:hanging="360"/>
      </w:pPr>
    </w:lvl>
    <w:lvl w:ilvl="7" w:tplc="D33AF866">
      <w:start w:val="1"/>
      <w:numFmt w:val="decimal"/>
      <w:lvlText w:val="%8."/>
      <w:lvlJc w:val="left"/>
      <w:pPr>
        <w:tabs>
          <w:tab w:val="num" w:pos="5760"/>
        </w:tabs>
        <w:ind w:left="5760" w:hanging="360"/>
      </w:pPr>
    </w:lvl>
    <w:lvl w:ilvl="8" w:tplc="06F080E0">
      <w:start w:val="1"/>
      <w:numFmt w:val="decimal"/>
      <w:lvlText w:val="%9."/>
      <w:lvlJc w:val="left"/>
      <w:pPr>
        <w:tabs>
          <w:tab w:val="num" w:pos="6480"/>
        </w:tabs>
        <w:ind w:left="6480" w:hanging="360"/>
      </w:pPr>
    </w:lvl>
  </w:abstractNum>
  <w:abstractNum w:abstractNumId="9" w15:restartNumberingAfterBreak="0">
    <w:nsid w:val="7DF752AC"/>
    <w:multiLevelType w:val="hybridMultilevel"/>
    <w:tmpl w:val="FB3248A2"/>
    <w:lvl w:ilvl="0" w:tplc="4A6A378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0"/>
    <w:lvlOverride w:ilvl="0">
      <w:lvl w:ilvl="0">
        <w:start w:val="1"/>
        <w:numFmt w:val="decimal"/>
        <w:pStyle w:val="arAttachmentHeading"/>
        <w:suff w:val="space"/>
        <w:lvlText w:val="Attachment %1"/>
        <w:lvlJc w:val="left"/>
        <w:pPr>
          <w:ind w:left="2835" w:hanging="2835"/>
        </w:pPr>
        <w:rPr>
          <w:rFonts w:cs="Times New Roman" w:hint="default"/>
          <w:b/>
          <w:bCs w:val="0"/>
          <w:i w:val="0"/>
          <w:iCs w:val="0"/>
          <w:caps/>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lvlOverride w:ilvl="0">
      <w:lvl w:ilvl="0">
        <w:start w:val="1"/>
        <w:numFmt w:val="decimal"/>
        <w:pStyle w:val="arAttachmentHeading"/>
        <w:suff w:val="space"/>
        <w:lvlText w:val="Attachment %1"/>
        <w:lvlJc w:val="left"/>
        <w:pPr>
          <w:ind w:left="2835" w:hanging="2835"/>
        </w:pPr>
        <w:rPr>
          <w:rFonts w:ascii="Arial" w:hAnsi="Arial" w:cs="Times New Roman" w:hint="default"/>
          <w:b/>
          <w:bCs w:val="0"/>
          <w:i w:val="0"/>
          <w:iCs w:val="0"/>
          <w:caps/>
          <w:smallCaps w:val="0"/>
          <w:strike w:val="0"/>
          <w:dstrike w:val="0"/>
          <w:outline w:val="0"/>
          <w:shadow w:val="0"/>
          <w:emboss w:val="0"/>
          <w:imprint w:val="0"/>
          <w:vanish w:val="0"/>
          <w:webHidden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6">
    <w:abstractNumId w:val="8"/>
  </w:num>
  <w:num w:numId="7">
    <w:abstractNumId w:val="0"/>
    <w:lvlOverride w:ilvl="0">
      <w:lvl w:ilvl="0">
        <w:start w:val="1"/>
        <w:numFmt w:val="decimal"/>
        <w:pStyle w:val="arAttachmentHeading"/>
        <w:suff w:val="space"/>
        <w:lvlText w:val="Attachment %1"/>
        <w:lvlJc w:val="left"/>
        <w:pPr>
          <w:ind w:left="2835" w:hanging="2835"/>
        </w:pPr>
        <w:rPr>
          <w:rFonts w:cs="Times New Roman" w:hint="default"/>
          <w:b/>
          <w:bCs w:val="0"/>
          <w:i w:val="0"/>
          <w:iCs w:val="0"/>
          <w:caps/>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ascii="Arial" w:hAnsi="Arial" w:cs="Arial" w:hint="default"/>
          <w:b/>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abstractNumId w:val="2"/>
  </w:num>
  <w:num w:numId="9">
    <w:abstractNumId w:val="7"/>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EA"/>
    <w:rsid w:val="00081AEA"/>
    <w:rsid w:val="00083E99"/>
    <w:rsid w:val="002B5071"/>
    <w:rsid w:val="002C653A"/>
    <w:rsid w:val="004A23A1"/>
    <w:rsid w:val="006A4DEB"/>
    <w:rsid w:val="00A2434B"/>
    <w:rsid w:val="00A475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3BB5"/>
  <w15:chartTrackingRefBased/>
  <w15:docId w15:val="{C13FE354-A885-4D63-BC8A-C2707230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AEA"/>
    <w:pPr>
      <w:keepLines/>
      <w:spacing w:after="0" w:line="240" w:lineRule="auto"/>
    </w:pPr>
    <w:rPr>
      <w:rFonts w:ascii="Arial" w:eastAsia="Times New Roman" w:hAnsi="Arial" w:cs="Times New Roman"/>
      <w:sz w:val="20"/>
      <w:szCs w:val="24"/>
      <w:lang w:eastAsia="en-NZ"/>
    </w:rPr>
  </w:style>
  <w:style w:type="paragraph" w:styleId="Heading2">
    <w:name w:val="heading 2"/>
    <w:basedOn w:val="Normal"/>
    <w:next w:val="Normal"/>
    <w:link w:val="Heading2Char"/>
    <w:uiPriority w:val="9"/>
    <w:semiHidden/>
    <w:unhideWhenUsed/>
    <w:qFormat/>
    <w:rsid w:val="00081AEA"/>
    <w:pPr>
      <w:keepNext/>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1AEA"/>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ttachmentHeading">
    <w:name w:val="ar_Attachment_Heading"/>
    <w:basedOn w:val="Heading2"/>
    <w:next w:val="Normal"/>
    <w:qFormat/>
    <w:rsid w:val="00081AEA"/>
    <w:pPr>
      <w:keepNext w:val="0"/>
      <w:keepLines w:val="0"/>
      <w:numPr>
        <w:numId w:val="2"/>
      </w:numPr>
      <w:pBdr>
        <w:bottom w:val="single" w:sz="4" w:space="1" w:color="auto"/>
      </w:pBdr>
      <w:tabs>
        <w:tab w:val="num" w:pos="360"/>
      </w:tabs>
      <w:spacing w:before="240" w:after="240"/>
      <w:ind w:left="0" w:firstLine="0"/>
    </w:pPr>
    <w:rPr>
      <w:rFonts w:ascii="Arial" w:eastAsia="Calibri" w:hAnsi="Arial" w:cs="Arial"/>
      <w:b/>
      <w:caps/>
      <w:color w:val="auto"/>
      <w:sz w:val="28"/>
      <w:szCs w:val="22"/>
      <w:lang w:eastAsia="en-US"/>
    </w:rPr>
  </w:style>
  <w:style w:type="character" w:styleId="CommentReference">
    <w:name w:val="annotation reference"/>
    <w:basedOn w:val="DefaultParagraphFont"/>
    <w:uiPriority w:val="99"/>
    <w:semiHidden/>
    <w:unhideWhenUsed/>
    <w:rsid w:val="00081AEA"/>
    <w:rPr>
      <w:sz w:val="16"/>
      <w:szCs w:val="16"/>
    </w:rPr>
  </w:style>
  <w:style w:type="numbering" w:customStyle="1" w:styleId="Style1">
    <w:name w:val="Style1"/>
    <w:uiPriority w:val="99"/>
    <w:rsid w:val="00081AEA"/>
    <w:pPr>
      <w:numPr>
        <w:numId w:val="1"/>
      </w:numPr>
    </w:pPr>
  </w:style>
  <w:style w:type="paragraph" w:customStyle="1" w:styleId="condnote">
    <w:name w:val="cond_note"/>
    <w:basedOn w:val="Normal"/>
    <w:qFormat/>
    <w:rsid w:val="00081AEA"/>
    <w:rPr>
      <w:b/>
      <w:lang w:eastAsia="en-US"/>
    </w:rPr>
  </w:style>
  <w:style w:type="character" w:customStyle="1" w:styleId="Heading2-NormalnointentChar">
    <w:name w:val="Heading 2 - Normal (no intent Char"/>
    <w:aliases w:val="no TOC) Char"/>
    <w:link w:val="Heading2-Normalnointent"/>
    <w:locked/>
    <w:rsid w:val="00081AEA"/>
    <w:rPr>
      <w:rFonts w:ascii="Verdana" w:hAnsi="Verdana"/>
      <w:b/>
      <w:lang w:val="en-GB"/>
    </w:rPr>
  </w:style>
  <w:style w:type="paragraph" w:customStyle="1" w:styleId="Heading2-Normalnointent">
    <w:name w:val="Heading 2 - Normal (no intent"/>
    <w:aliases w:val="no TOC)"/>
    <w:basedOn w:val="Normal"/>
    <w:next w:val="Normal"/>
    <w:link w:val="Heading2-NormalnointentChar"/>
    <w:rsid w:val="00081AEA"/>
    <w:pPr>
      <w:keepNext/>
      <w:spacing w:before="240" w:after="120"/>
    </w:pPr>
    <w:rPr>
      <w:rFonts w:ascii="Verdana" w:eastAsiaTheme="minorHAnsi" w:hAnsi="Verdana" w:cstheme="minorBidi"/>
      <w:b/>
      <w:sz w:val="22"/>
      <w:szCs w:val="22"/>
      <w:lang w:val="en-GB" w:eastAsia="en-US"/>
    </w:rPr>
  </w:style>
  <w:style w:type="paragraph" w:styleId="ListParagraph">
    <w:name w:val="List Paragraph"/>
    <w:basedOn w:val="Normal"/>
    <w:uiPriority w:val="34"/>
    <w:qFormat/>
    <w:rsid w:val="00081AEA"/>
    <w:pPr>
      <w:ind w:left="720"/>
      <w:contextualSpacing/>
    </w:pPr>
  </w:style>
  <w:style w:type="paragraph" w:styleId="CommentText">
    <w:name w:val="annotation text"/>
    <w:basedOn w:val="Normal"/>
    <w:link w:val="CommentTextChar"/>
    <w:uiPriority w:val="99"/>
    <w:semiHidden/>
    <w:unhideWhenUsed/>
    <w:rsid w:val="00081AEA"/>
    <w:rPr>
      <w:szCs w:val="20"/>
    </w:rPr>
  </w:style>
  <w:style w:type="character" w:customStyle="1" w:styleId="CommentTextChar">
    <w:name w:val="Comment Text Char"/>
    <w:basedOn w:val="DefaultParagraphFont"/>
    <w:link w:val="CommentText"/>
    <w:uiPriority w:val="99"/>
    <w:semiHidden/>
    <w:rsid w:val="00081AEA"/>
    <w:rPr>
      <w:rFonts w:ascii="Arial" w:eastAsia="Times New Roman" w:hAnsi="Arial" w:cs="Times New Roman"/>
      <w:sz w:val="20"/>
      <w:szCs w:val="20"/>
      <w:lang w:eastAsia="en-NZ"/>
    </w:rPr>
  </w:style>
  <w:style w:type="character" w:customStyle="1" w:styleId="Heading2Char">
    <w:name w:val="Heading 2 Char"/>
    <w:basedOn w:val="DefaultParagraphFont"/>
    <w:link w:val="Heading2"/>
    <w:uiPriority w:val="9"/>
    <w:semiHidden/>
    <w:rsid w:val="00081AEA"/>
    <w:rPr>
      <w:rFonts w:asciiTheme="majorHAnsi" w:eastAsiaTheme="majorEastAsia" w:hAnsiTheme="majorHAnsi" w:cstheme="majorBidi"/>
      <w:color w:val="2F5496" w:themeColor="accent1" w:themeShade="BF"/>
      <w:sz w:val="26"/>
      <w:szCs w:val="26"/>
      <w:lang w:eastAsia="en-NZ"/>
    </w:rPr>
  </w:style>
  <w:style w:type="paragraph" w:styleId="BalloonText">
    <w:name w:val="Balloon Text"/>
    <w:basedOn w:val="Normal"/>
    <w:link w:val="BalloonTextChar"/>
    <w:uiPriority w:val="99"/>
    <w:semiHidden/>
    <w:unhideWhenUsed/>
    <w:rsid w:val="00081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EA"/>
    <w:rPr>
      <w:rFonts w:ascii="Segoe UI" w:eastAsia="Times New Roman" w:hAnsi="Segoe UI" w:cs="Segoe UI"/>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B2582851737C4640BA36565D556ECEA8" version="1.0.0">
  <systemFields>
    <field name="Objective-Id">
      <value order="0">A3956922</value>
    </field>
    <field name="Objective-Title">
      <value order="0">201900495 Decision Summary</value>
    </field>
    <field name="Objective-Description">
      <value order="0"/>
    </field>
    <field name="Objective-CreationStamp">
      <value order="0">2020-02-26T00:22:55Z</value>
    </field>
    <field name="Objective-IsApproved">
      <value order="0">false</value>
    </field>
    <field name="Objective-IsPublished">
      <value order="0">true</value>
    </field>
    <field name="Objective-DatePublished">
      <value order="0">2020-02-26T00:46:14Z</value>
    </field>
    <field name="Objective-ModificationStamp">
      <value order="0">2020-02-26T00:46:14Z</value>
    </field>
    <field name="Objective-Owner">
      <value order="0">Lauren Gillies</value>
    </field>
    <field name="Objective-Path">
      <value order="0">LinZone Global Folder:LinZone File Plan:Overseas Investment Office:Applications:Processing applications and investigations A-E:DAIWA ENERGY &amp; INFRASTRUCTURE CO LTD:201900495 - Daiwa Energy &amp; Infrastructure Co Ltd obtaining a 39.8% interest in Aquila Capital Holding:Exemption 201900495 : 9/12/2019</value>
    </field>
    <field name="Objective-Parent">
      <value order="0">Exemption 201900495 : 9/12/2019</value>
    </field>
    <field name="Objective-State">
      <value order="0">Published</value>
    </field>
    <field name="Objective-VersionId">
      <value order="0">vA6404955</value>
    </field>
    <field name="Objective-Version">
      <value order="0">2.0</value>
    </field>
    <field name="Objective-VersionNumber">
      <value order="0">3</value>
    </field>
    <field name="Objective-VersionComment">
      <value order="0"/>
    </field>
    <field name="Objective-FileNumber">
      <value order="0">OIO-A15-06-19/994</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Gillies</dc:creator>
  <cp:keywords/>
  <dc:description/>
  <cp:lastModifiedBy>Peter R Hill</cp:lastModifiedBy>
  <cp:revision>2</cp:revision>
  <dcterms:created xsi:type="dcterms:W3CDTF">2020-03-14T20:21:00Z</dcterms:created>
  <dcterms:modified xsi:type="dcterms:W3CDTF">2020-03-14T20:21:00Z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A3956922</vt:lpwstr>
  </property>
  <property fmtid="{D5CDD505-2E9C-101B-9397-08002B2CF9AE}" pid="4" name="Objective-Title">
    <vt:lpwstr>201900495 Decision Summary</vt:lpwstr>
  </property>
  <property fmtid="{D5CDD505-2E9C-101B-9397-08002B2CF9AE}" pid="5" name="Objective-Description">
    <vt:lpwstr/>
  </property>
  <property fmtid="{D5CDD505-2E9C-101B-9397-08002B2CF9AE}" pid="6" name="Objective-CreationStamp">
    <vt:filetime>2020-02-26T00:22:55Z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2020-02-26T00:46:14Z</vt:filetime>
  </property>
  <property fmtid="{D5CDD505-2E9C-101B-9397-08002B2CF9AE}" pid="10" name="Objective-ModificationStamp">
    <vt:filetime>2020-02-26T00:46:14Z</vt:filetime>
  </property>
  <property fmtid="{D5CDD505-2E9C-101B-9397-08002B2CF9AE}" pid="11" name="Objective-Owner">
    <vt:lpwstr>Lauren Gillies</vt:lpwstr>
  </property>
  <property fmtid="{D5CDD505-2E9C-101B-9397-08002B2CF9AE}" pid="12" name="Objective-Path">
    <vt:lpwstr>LinZone Global Folder:LinZone File Plan:Overseas Investment Office:Applications:Processing applications and investigations A-E:DAIWA ENERGY &amp; INFRASTRUCTURE CO LTD:201900495 - Daiwa Energy &amp; Infrastructure Co Ltd obtaining a 39.8% interest in Aquila Capit</vt:lpwstr>
  </property>
  <property fmtid="{D5CDD505-2E9C-101B-9397-08002B2CF9AE}" pid="13" name="Objective-Parent">
    <vt:lpwstr>Exemption 201900495 : 9/12/2019</vt:lpwstr>
  </property>
  <property fmtid="{D5CDD505-2E9C-101B-9397-08002B2CF9AE}" pid="14" name="Objective-State">
    <vt:lpwstr>Published</vt:lpwstr>
  </property>
  <property fmtid="{D5CDD505-2E9C-101B-9397-08002B2CF9AE}" pid="15" name="Objective-VersionId">
    <vt:lpwstr>vA6404955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OIO-A15-06-19/994</vt:lpwstr>
  </property>
  <property fmtid="{D5CDD505-2E9C-101B-9397-08002B2CF9AE}" pid="20" name="Objective-Classification">
    <vt:lpwstr/>
  </property>
  <property fmtid="{D5CDD505-2E9C-101B-9397-08002B2CF9AE}" pid="21" name="Objective-Caveats">
    <vt:lpwstr/>
  </property>
  <property fmtid="{D5CDD505-2E9C-101B-9397-08002B2CF9AE}" pid="22" name="Objective-Copy To Clipboard">
    <vt:lpwstr>Copy To Clipboard</vt:lpwstr>
  </property>
  <property fmtid="{D5CDD505-2E9C-101B-9397-08002B2CF9AE}" pid="23" name="Objective-Create Hyperlink">
    <vt:lpwstr>Create Hyperlink</vt:lpwstr>
  </property>
  <property fmtid="{D5CDD505-2E9C-101B-9397-08002B2CF9AE}" pid="24" name="Objective-Connect Creator">
    <vt:lpwstr/>
  </property>
</Properties>
</file>